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tabs>
          <w:tab w:val="left" w:pos="1680"/>
        </w:tabs>
        <w:kinsoku/>
        <w:wordWrap/>
        <w:overflowPunct/>
        <w:topLinePunct w:val="0"/>
        <w:autoSpaceDE/>
        <w:autoSpaceDN/>
        <w:bidi w:val="0"/>
        <w:spacing w:before="120" w:after="120" w:line="600" w:lineRule="atLeast"/>
        <w:ind w:firstLine="643"/>
        <w:jc w:val="center"/>
        <w:textAlignment w:val="auto"/>
        <w:outlineLvl w:val="0"/>
        <w:rPr>
          <w:rFonts w:hint="eastAsia" w:ascii="方正仿宋_GB2312" w:hAnsi="方正仿宋_GB2312" w:eastAsia="方正仿宋_GB2312" w:cs="方正仿宋_GB2312"/>
          <w:b/>
          <w:bCs/>
          <w:color w:val="000000"/>
          <w:sz w:val="36"/>
          <w:szCs w:val="36"/>
          <w:lang w:eastAsia="zh-CN"/>
        </w:rPr>
      </w:pPr>
    </w:p>
    <w:p>
      <w:pPr>
        <w:pageBreakBefore w:val="0"/>
        <w:widowControl w:val="0"/>
        <w:tabs>
          <w:tab w:val="left" w:pos="1680"/>
        </w:tabs>
        <w:kinsoku/>
        <w:wordWrap/>
        <w:overflowPunct/>
        <w:topLinePunct w:val="0"/>
        <w:autoSpaceDE/>
        <w:autoSpaceDN/>
        <w:bidi w:val="0"/>
        <w:spacing w:before="120" w:after="120" w:line="600" w:lineRule="atLeast"/>
        <w:ind w:firstLine="643"/>
        <w:jc w:val="center"/>
        <w:textAlignment w:val="auto"/>
        <w:outlineLvl w:val="0"/>
        <w:rPr>
          <w:rFonts w:hint="eastAsia" w:ascii="方正仿宋_GB2312" w:hAnsi="方正仿宋_GB2312" w:eastAsia="方正仿宋_GB2312" w:cs="方正仿宋_GB2312"/>
          <w:b/>
          <w:bCs/>
          <w:color w:val="000000"/>
          <w:sz w:val="36"/>
          <w:szCs w:val="36"/>
          <w:lang w:eastAsia="zh-CN"/>
        </w:rPr>
      </w:pPr>
    </w:p>
    <w:p>
      <w:pPr>
        <w:pageBreakBefore w:val="0"/>
        <w:widowControl w:val="0"/>
        <w:tabs>
          <w:tab w:val="left" w:pos="1680"/>
        </w:tabs>
        <w:kinsoku/>
        <w:wordWrap/>
        <w:overflowPunct/>
        <w:topLinePunct w:val="0"/>
        <w:autoSpaceDE/>
        <w:autoSpaceDN/>
        <w:bidi w:val="0"/>
        <w:spacing w:before="120" w:after="120" w:line="600" w:lineRule="exact"/>
        <w:ind w:firstLine="643"/>
        <w:jc w:val="center"/>
        <w:textAlignment w:val="auto"/>
        <w:outlineLvl w:val="0"/>
        <w:rPr>
          <w:rFonts w:hint="eastAsia" w:ascii="方正小标宋_GBK" w:hAnsi="方正小标宋_GBK" w:eastAsia="方正小标宋_GBK" w:cs="方正小标宋_GBK"/>
          <w:b w:val="0"/>
          <w:bCs w:val="0"/>
          <w:color w:val="000000"/>
          <w:sz w:val="44"/>
          <w:szCs w:val="44"/>
          <w:lang w:eastAsia="zh-CN"/>
        </w:rPr>
      </w:pPr>
      <w:r>
        <w:rPr>
          <w:rFonts w:hint="eastAsia" w:ascii="方正小标宋_GBK" w:hAnsi="方正小标宋_GBK" w:eastAsia="方正小标宋_GBK" w:cs="方正小标宋_GBK"/>
          <w:b w:val="0"/>
          <w:bCs w:val="0"/>
          <w:color w:val="000000"/>
          <w:sz w:val="44"/>
          <w:szCs w:val="44"/>
          <w:lang w:eastAsia="zh-CN"/>
        </w:rPr>
        <w:t>叶城县铁提乡冷藏保鲜库建设项目支出自评总结报告</w:t>
      </w:r>
    </w:p>
    <w:p>
      <w:pPr>
        <w:pageBreakBefore w:val="0"/>
        <w:widowControl w:val="0"/>
        <w:kinsoku/>
        <w:wordWrap/>
        <w:overflowPunct/>
        <w:topLinePunct w:val="0"/>
        <w:autoSpaceDE/>
        <w:autoSpaceDN/>
        <w:bidi w:val="0"/>
        <w:spacing w:line="600" w:lineRule="atLeast"/>
        <w:ind w:firstLine="0" w:firstLineChars="0"/>
        <w:jc w:val="center"/>
        <w:textAlignment w:val="auto"/>
        <w:rPr>
          <w:rFonts w:hint="eastAsia" w:ascii="方正仿宋_GB2312" w:hAnsi="方正仿宋_GB2312" w:eastAsia="方正仿宋_GB2312" w:cs="方正仿宋_GB2312"/>
          <w:b/>
          <w:color w:val="auto"/>
          <w:kern w:val="0"/>
          <w:sz w:val="32"/>
          <w:szCs w:val="32"/>
          <w:highlight w:val="none"/>
          <w:lang w:bidi="en-US"/>
        </w:rPr>
      </w:pPr>
    </w:p>
    <w:p>
      <w:pPr>
        <w:pStyle w:val="2"/>
        <w:pageBreakBefore w:val="0"/>
        <w:widowControl w:val="0"/>
        <w:kinsoku/>
        <w:wordWrap/>
        <w:overflowPunct/>
        <w:topLinePunct w:val="0"/>
        <w:autoSpaceDE/>
        <w:autoSpaceDN/>
        <w:bidi w:val="0"/>
        <w:spacing w:line="600" w:lineRule="atLeast"/>
        <w:textAlignment w:val="auto"/>
        <w:rPr>
          <w:rFonts w:hint="eastAsia" w:ascii="方正仿宋_GB2312" w:hAnsi="方正仿宋_GB2312" w:eastAsia="方正仿宋_GB2312" w:cs="方正仿宋_GB2312"/>
          <w:b/>
          <w:color w:val="auto"/>
          <w:kern w:val="0"/>
          <w:sz w:val="32"/>
          <w:szCs w:val="32"/>
          <w:highlight w:val="none"/>
          <w:lang w:bidi="en-US"/>
        </w:rPr>
      </w:pPr>
    </w:p>
    <w:p>
      <w:pPr>
        <w:pageBreakBefore w:val="0"/>
        <w:widowControl w:val="0"/>
        <w:kinsoku/>
        <w:overflowPunct/>
        <w:topLinePunct w:val="0"/>
        <w:autoSpaceDN/>
        <w:bidi w:val="0"/>
        <w:spacing w:line="600" w:lineRule="atLeast"/>
        <w:textAlignment w:val="auto"/>
        <w:rPr>
          <w:rFonts w:hint="eastAsia" w:ascii="方正仿宋_GB2312" w:hAnsi="方正仿宋_GB2312" w:eastAsia="方正仿宋_GB2312" w:cs="方正仿宋_GB2312"/>
          <w:color w:val="auto"/>
          <w:highlight w:val="none"/>
        </w:rPr>
      </w:pPr>
    </w:p>
    <w:p>
      <w:pPr>
        <w:pStyle w:val="4"/>
        <w:pageBreakBefore w:val="0"/>
        <w:widowControl w:val="0"/>
        <w:kinsoku/>
        <w:overflowPunct/>
        <w:topLinePunct w:val="0"/>
        <w:autoSpaceDN/>
        <w:bidi w:val="0"/>
        <w:spacing w:line="600" w:lineRule="atLeast"/>
        <w:textAlignment w:val="auto"/>
        <w:rPr>
          <w:rFonts w:hint="eastAsia" w:ascii="方正仿宋_GB2312" w:hAnsi="方正仿宋_GB2312" w:eastAsia="方正仿宋_GB2312" w:cs="方正仿宋_GB2312"/>
          <w:lang w:eastAsia="zh-CN"/>
        </w:rPr>
      </w:pPr>
    </w:p>
    <w:p>
      <w:pPr>
        <w:pStyle w:val="4"/>
        <w:pageBreakBefore w:val="0"/>
        <w:widowControl w:val="0"/>
        <w:kinsoku/>
        <w:overflowPunct/>
        <w:topLinePunct w:val="0"/>
        <w:autoSpaceDN/>
        <w:bidi w:val="0"/>
        <w:spacing w:line="600" w:lineRule="atLeast"/>
        <w:textAlignment w:val="auto"/>
        <w:rPr>
          <w:rFonts w:hint="eastAsia" w:ascii="方正仿宋_GB2312" w:hAnsi="方正仿宋_GB2312" w:eastAsia="方正仿宋_GB2312" w:cs="方正仿宋_GB2312"/>
          <w:lang w:eastAsia="zh-CN"/>
        </w:rPr>
      </w:pPr>
    </w:p>
    <w:p>
      <w:pPr>
        <w:pStyle w:val="4"/>
        <w:pageBreakBefore w:val="0"/>
        <w:widowControl w:val="0"/>
        <w:kinsoku/>
        <w:overflowPunct/>
        <w:topLinePunct w:val="0"/>
        <w:autoSpaceDN/>
        <w:bidi w:val="0"/>
        <w:spacing w:line="600" w:lineRule="atLeast"/>
        <w:textAlignment w:val="auto"/>
        <w:rPr>
          <w:rFonts w:hint="eastAsia" w:ascii="方正仿宋_GB2312" w:hAnsi="方正仿宋_GB2312" w:eastAsia="方正仿宋_GB2312" w:cs="方正仿宋_GB2312"/>
          <w:lang w:eastAsia="zh-CN"/>
        </w:rPr>
      </w:pPr>
    </w:p>
    <w:p>
      <w:pPr>
        <w:pageBreakBefore w:val="0"/>
        <w:widowControl w:val="0"/>
        <w:kinsoku/>
        <w:wordWrap/>
        <w:overflowPunct/>
        <w:topLinePunct w:val="0"/>
        <w:autoSpaceDE/>
        <w:autoSpaceDN/>
        <w:bidi w:val="0"/>
        <w:spacing w:line="600" w:lineRule="atLeast"/>
        <w:textAlignment w:val="auto"/>
        <w:rPr>
          <w:rFonts w:hint="eastAsia" w:ascii="方正仿宋_GB2312" w:hAnsi="方正仿宋_GB2312" w:eastAsia="方正仿宋_GB2312" w:cs="方正仿宋_GB2312"/>
          <w:color w:val="auto"/>
          <w:highlight w:val="none"/>
        </w:rPr>
      </w:pPr>
    </w:p>
    <w:p>
      <w:pPr>
        <w:pageBreakBefore w:val="0"/>
        <w:widowControl w:val="0"/>
        <w:kinsoku/>
        <w:wordWrap/>
        <w:overflowPunct/>
        <w:topLinePunct w:val="0"/>
        <w:autoSpaceDE/>
        <w:autoSpaceDN/>
        <w:bidi w:val="0"/>
        <w:spacing w:line="600" w:lineRule="atLeast"/>
        <w:ind w:firstLine="0" w:firstLineChars="0"/>
        <w:jc w:val="both"/>
        <w:textAlignment w:val="auto"/>
        <w:rPr>
          <w:rFonts w:hint="eastAsia" w:ascii="方正仿宋_GB2312" w:hAnsi="方正仿宋_GB2312" w:eastAsia="方正仿宋_GB2312" w:cs="方正仿宋_GB2312"/>
          <w:color w:val="auto"/>
          <w:kern w:val="0"/>
          <w:sz w:val="32"/>
          <w:szCs w:val="32"/>
          <w:highlight w:val="none"/>
          <w:lang w:bidi="en-US"/>
        </w:rPr>
      </w:pPr>
    </w:p>
    <w:p>
      <w:pPr>
        <w:keepNext w:val="0"/>
        <w:keepLines w:val="0"/>
        <w:pageBreakBefore w:val="0"/>
        <w:widowControl w:val="0"/>
        <w:numPr>
          <w:ilvl w:val="0"/>
          <w:numId w:val="0"/>
        </w:numPr>
        <w:kinsoku/>
        <w:overflowPunct/>
        <w:topLinePunct w:val="0"/>
        <w:autoSpaceDN/>
        <w:bidi w:val="0"/>
        <w:adjustRightInd/>
        <w:snapToGrid/>
        <w:spacing w:line="600" w:lineRule="atLeast"/>
        <w:jc w:val="left"/>
        <w:textAlignment w:val="auto"/>
        <w:rPr>
          <w:rFonts w:hint="eastAsia" w:ascii="方正仿宋_GB2312" w:hAnsi="方正仿宋_GB2312" w:eastAsia="方正仿宋_GB2312" w:cs="方正仿宋_GB2312"/>
          <w:color w:val="000000"/>
          <w:kern w:val="2"/>
          <w:sz w:val="32"/>
          <w:szCs w:val="32"/>
          <w:lang w:val="en-US" w:eastAsia="zh-CN" w:bidi="ar-SA"/>
        </w:rPr>
      </w:pPr>
    </w:p>
    <w:p>
      <w:pPr>
        <w:pageBreakBefore w:val="0"/>
        <w:widowControl w:val="0"/>
        <w:kinsoku/>
        <w:overflowPunct/>
        <w:topLinePunct w:val="0"/>
        <w:autoSpaceDN/>
        <w:bidi w:val="0"/>
        <w:spacing w:line="600" w:lineRule="exact"/>
        <w:ind w:firstLine="640" w:firstLineChars="200"/>
        <w:jc w:val="left"/>
        <w:textAlignment w:val="auto"/>
        <w:rPr>
          <w:rFonts w:hint="eastAsia" w:ascii="方正小标宋_GBK" w:hAnsi="方正小标宋_GBK" w:eastAsia="方正小标宋_GBK" w:cs="方正小标宋_GBK"/>
          <w:b w:val="0"/>
          <w:bCs w:val="0"/>
          <w:color w:val="000000"/>
          <w:kern w:val="2"/>
          <w:sz w:val="32"/>
          <w:szCs w:val="32"/>
          <w:lang w:val="en-US" w:eastAsia="zh-CN" w:bidi="ar-SA"/>
        </w:rPr>
      </w:pPr>
      <w:r>
        <w:rPr>
          <w:rFonts w:hint="eastAsia" w:ascii="方正仿宋_GB2312" w:hAnsi="方正仿宋_GB2312" w:eastAsia="方正仿宋_GB2312" w:cs="方正仿宋_GB2312"/>
          <w:color w:val="000000"/>
          <w:kern w:val="2"/>
          <w:sz w:val="32"/>
          <w:szCs w:val="32"/>
          <w:lang w:val="en-US" w:eastAsia="zh-CN" w:bidi="ar-SA"/>
        </w:rPr>
        <w:t xml:space="preserve">   </w:t>
      </w:r>
      <w:r>
        <w:rPr>
          <w:rFonts w:hint="eastAsia" w:ascii="方正小标宋_GBK" w:hAnsi="方正小标宋_GBK" w:eastAsia="方正小标宋_GBK" w:cs="方正小标宋_GBK"/>
          <w:b w:val="0"/>
          <w:bCs w:val="0"/>
          <w:color w:val="000000"/>
          <w:kern w:val="2"/>
          <w:sz w:val="32"/>
          <w:szCs w:val="32"/>
          <w:lang w:val="en-US" w:eastAsia="zh-CN" w:bidi="ar-SA"/>
        </w:rPr>
        <w:t xml:space="preserve"> 项目名称：叶城县铁提乡冷藏保鲜库建设项目</w:t>
      </w:r>
    </w:p>
    <w:p>
      <w:pPr>
        <w:pageBreakBefore w:val="0"/>
        <w:widowControl w:val="0"/>
        <w:kinsoku/>
        <w:overflowPunct/>
        <w:topLinePunct w:val="0"/>
        <w:autoSpaceDN/>
        <w:bidi w:val="0"/>
        <w:spacing w:line="600" w:lineRule="exact"/>
        <w:ind w:firstLine="640" w:firstLineChars="200"/>
        <w:jc w:val="left"/>
        <w:textAlignment w:val="auto"/>
        <w:rPr>
          <w:rFonts w:hint="eastAsia" w:ascii="方正小标宋_GBK" w:hAnsi="方正小标宋_GBK" w:eastAsia="方正小标宋_GBK" w:cs="方正小标宋_GBK"/>
          <w:b w:val="0"/>
          <w:bCs w:val="0"/>
          <w:color w:val="000000"/>
          <w:kern w:val="2"/>
          <w:sz w:val="32"/>
          <w:szCs w:val="32"/>
          <w:lang w:val="en-US" w:eastAsia="zh-CN" w:bidi="ar-SA"/>
        </w:rPr>
      </w:pPr>
      <w:r>
        <w:rPr>
          <w:rFonts w:hint="eastAsia" w:ascii="方正小标宋_GBK" w:hAnsi="方正小标宋_GBK" w:eastAsia="方正小标宋_GBK" w:cs="方正小标宋_GBK"/>
          <w:b w:val="0"/>
          <w:bCs w:val="0"/>
          <w:color w:val="000000"/>
          <w:kern w:val="2"/>
          <w:sz w:val="32"/>
          <w:szCs w:val="32"/>
          <w:lang w:val="en-US" w:eastAsia="zh-CN" w:bidi="ar-SA"/>
        </w:rPr>
        <w:t xml:space="preserve">    实施单位：叶城县铁提乡人民政府</w:t>
      </w:r>
    </w:p>
    <w:p>
      <w:pPr>
        <w:pageBreakBefore w:val="0"/>
        <w:widowControl w:val="0"/>
        <w:kinsoku/>
        <w:overflowPunct/>
        <w:topLinePunct w:val="0"/>
        <w:autoSpaceDN/>
        <w:bidi w:val="0"/>
        <w:spacing w:line="600" w:lineRule="exact"/>
        <w:ind w:firstLine="1280" w:firstLineChars="400"/>
        <w:jc w:val="left"/>
        <w:textAlignment w:val="auto"/>
        <w:rPr>
          <w:rFonts w:hint="eastAsia" w:ascii="方正小标宋_GBK" w:hAnsi="方正小标宋_GBK" w:eastAsia="方正小标宋_GBK" w:cs="方正小标宋_GBK"/>
          <w:b w:val="0"/>
          <w:bCs w:val="0"/>
          <w:color w:val="000000"/>
          <w:kern w:val="2"/>
          <w:sz w:val="32"/>
          <w:szCs w:val="32"/>
          <w:lang w:val="en-US" w:eastAsia="zh-CN" w:bidi="ar-SA"/>
        </w:rPr>
      </w:pPr>
      <w:r>
        <w:rPr>
          <w:rFonts w:hint="eastAsia" w:ascii="方正小标宋_GBK" w:hAnsi="方正小标宋_GBK" w:eastAsia="方正小标宋_GBK" w:cs="方正小标宋_GBK"/>
          <w:b w:val="0"/>
          <w:bCs w:val="0"/>
          <w:color w:val="000000"/>
          <w:kern w:val="2"/>
          <w:sz w:val="32"/>
          <w:szCs w:val="32"/>
          <w:lang w:val="en-US" w:eastAsia="zh-CN" w:bidi="ar-SA"/>
        </w:rPr>
        <w:t>主管部门：叶城县农业农村局</w:t>
      </w:r>
    </w:p>
    <w:p>
      <w:pPr>
        <w:pageBreakBefore w:val="0"/>
        <w:widowControl w:val="0"/>
        <w:kinsoku/>
        <w:overflowPunct/>
        <w:topLinePunct w:val="0"/>
        <w:autoSpaceDN/>
        <w:bidi w:val="0"/>
        <w:spacing w:line="600" w:lineRule="exact"/>
        <w:ind w:firstLine="1280" w:firstLineChars="400"/>
        <w:jc w:val="left"/>
        <w:textAlignment w:val="auto"/>
        <w:rPr>
          <w:rFonts w:hint="eastAsia" w:ascii="方正小标宋_GBK" w:hAnsi="方正小标宋_GBK" w:eastAsia="方正小标宋_GBK" w:cs="方正小标宋_GBK"/>
          <w:b w:val="0"/>
          <w:bCs w:val="0"/>
          <w:color w:val="000000"/>
          <w:kern w:val="2"/>
          <w:sz w:val="32"/>
          <w:szCs w:val="32"/>
          <w:lang w:val="en-US" w:eastAsia="zh-CN" w:bidi="ar-SA"/>
        </w:rPr>
      </w:pPr>
      <w:r>
        <w:rPr>
          <w:rFonts w:hint="eastAsia" w:ascii="方正小标宋_GBK" w:hAnsi="方正小标宋_GBK" w:eastAsia="方正小标宋_GBK" w:cs="方正小标宋_GBK"/>
          <w:b w:val="0"/>
          <w:bCs w:val="0"/>
          <w:color w:val="000000"/>
          <w:kern w:val="2"/>
          <w:sz w:val="32"/>
          <w:szCs w:val="32"/>
          <w:lang w:val="en-US" w:eastAsia="zh-CN" w:bidi="ar-SA"/>
        </w:rPr>
        <w:t>项目负责人：赵吉福</w:t>
      </w:r>
    </w:p>
    <w:p>
      <w:pPr>
        <w:pageBreakBefore w:val="0"/>
        <w:widowControl w:val="0"/>
        <w:kinsoku/>
        <w:overflowPunct/>
        <w:topLinePunct w:val="0"/>
        <w:autoSpaceDN/>
        <w:bidi w:val="0"/>
        <w:spacing w:line="600" w:lineRule="exact"/>
        <w:ind w:firstLine="1280" w:firstLineChars="400"/>
        <w:jc w:val="left"/>
        <w:textAlignment w:val="auto"/>
        <w:rPr>
          <w:rFonts w:hint="default" w:ascii="方正小标宋_GBK" w:hAnsi="方正小标宋_GBK" w:eastAsia="方正小标宋_GBK" w:cs="方正小标宋_GBK"/>
          <w:b w:val="0"/>
          <w:bCs w:val="0"/>
          <w:color w:val="000000"/>
          <w:kern w:val="2"/>
          <w:sz w:val="32"/>
          <w:szCs w:val="32"/>
          <w:lang w:val="en-US" w:eastAsia="zh-CN" w:bidi="ar-SA"/>
        </w:rPr>
      </w:pPr>
      <w:r>
        <w:rPr>
          <w:rFonts w:hint="eastAsia" w:ascii="方正小标宋_GBK" w:hAnsi="方正小标宋_GBK" w:eastAsia="方正小标宋_GBK" w:cs="方正小标宋_GBK"/>
          <w:b w:val="0"/>
          <w:bCs w:val="0"/>
          <w:color w:val="000000"/>
          <w:kern w:val="2"/>
          <w:sz w:val="32"/>
          <w:szCs w:val="32"/>
          <w:lang w:val="en-US" w:eastAsia="zh-CN" w:bidi="ar-SA"/>
        </w:rPr>
        <w:t>填报时间： 2024年1月</w:t>
      </w:r>
    </w:p>
    <w:p>
      <w:pPr>
        <w:pageBreakBefore w:val="0"/>
        <w:widowControl w:val="0"/>
        <w:kinsoku/>
        <w:overflowPunct/>
        <w:topLinePunct w:val="0"/>
        <w:autoSpaceDN/>
        <w:bidi w:val="0"/>
        <w:spacing w:line="600" w:lineRule="atLeast"/>
        <w:ind w:firstLine="1200" w:firstLineChars="400"/>
        <w:jc w:val="left"/>
        <w:textAlignment w:val="auto"/>
        <w:rPr>
          <w:rFonts w:hint="eastAsia" w:ascii="方正仿宋_GB2312" w:hAnsi="方正仿宋_GB2312" w:eastAsia="方正仿宋_GB2312" w:cs="方正仿宋_GB2312"/>
          <w:color w:val="auto"/>
          <w:kern w:val="0"/>
          <w:sz w:val="30"/>
          <w:szCs w:val="30"/>
          <w:lang w:bidi="en-US"/>
        </w:rPr>
      </w:pPr>
    </w:p>
    <w:p>
      <w:pPr>
        <w:pageBreakBefore w:val="0"/>
        <w:widowControl w:val="0"/>
        <w:kinsoku/>
        <w:overflowPunct/>
        <w:topLinePunct w:val="0"/>
        <w:autoSpaceDN/>
        <w:bidi w:val="0"/>
        <w:spacing w:line="600" w:lineRule="atLeast"/>
        <w:jc w:val="both"/>
        <w:textAlignment w:val="auto"/>
        <w:rPr>
          <w:rFonts w:hint="eastAsia" w:ascii="方正仿宋_GB2312" w:hAnsi="方正仿宋_GB2312" w:eastAsia="方正仿宋_GB2312" w:cs="方正仿宋_GB2312"/>
          <w:b/>
          <w:bCs/>
          <w:color w:val="000000"/>
          <w:sz w:val="32"/>
          <w:szCs w:val="32"/>
          <w:lang w:val="en-US" w:eastAsia="zh-CN"/>
        </w:rPr>
      </w:pPr>
    </w:p>
    <w:p>
      <w:pPr>
        <w:pageBreakBefore w:val="0"/>
        <w:widowControl w:val="0"/>
        <w:tabs>
          <w:tab w:val="left" w:pos="1680"/>
        </w:tabs>
        <w:kinsoku/>
        <w:wordWrap/>
        <w:overflowPunct/>
        <w:topLinePunct w:val="0"/>
        <w:autoSpaceDE/>
        <w:autoSpaceDN/>
        <w:bidi w:val="0"/>
        <w:spacing w:before="120" w:after="120" w:line="600" w:lineRule="exact"/>
        <w:jc w:val="center"/>
        <w:textAlignment w:val="auto"/>
        <w:outlineLvl w:val="0"/>
        <w:rPr>
          <w:rFonts w:hint="eastAsia" w:ascii="方正小标宋_GBK" w:hAnsi="方正小标宋_GBK" w:eastAsia="方正小标宋_GBK" w:cs="方正小标宋_GBK"/>
          <w:b w:val="0"/>
          <w:bCs w:val="0"/>
          <w:color w:val="000000"/>
          <w:sz w:val="44"/>
          <w:szCs w:val="44"/>
          <w:lang w:val="en-US" w:eastAsia="zh-CN"/>
        </w:rPr>
      </w:pPr>
      <w:r>
        <w:rPr>
          <w:rFonts w:hint="eastAsia" w:ascii="方正小标宋_GBK" w:hAnsi="方正小标宋_GBK" w:eastAsia="方正小标宋_GBK" w:cs="方正小标宋_GBK"/>
          <w:b w:val="0"/>
          <w:bCs w:val="0"/>
          <w:color w:val="000000"/>
          <w:sz w:val="44"/>
          <w:szCs w:val="44"/>
          <w:lang w:val="en-US" w:eastAsia="zh-CN"/>
        </w:rPr>
        <w:t>叶城县铁提乡冷藏保鲜库建设项目绩效自评总结报告</w:t>
      </w:r>
    </w:p>
    <w:p>
      <w:pPr>
        <w:keepNext w:val="0"/>
        <w:keepLines w:val="0"/>
        <w:pageBreakBefore w:val="0"/>
        <w:widowControl w:val="0"/>
        <w:kinsoku/>
        <w:overflowPunct/>
        <w:topLinePunct w:val="0"/>
        <w:autoSpaceDN/>
        <w:bidi w:val="0"/>
        <w:adjustRightInd/>
        <w:snapToGrid/>
        <w:spacing w:line="600" w:lineRule="atLeast"/>
        <w:ind w:firstLine="641" w:firstLineChars="200"/>
        <w:jc w:val="left"/>
        <w:textAlignment w:val="auto"/>
        <w:rPr>
          <w:rFonts w:hint="eastAsia" w:ascii="方正公文黑体" w:hAnsi="方正公文黑体" w:eastAsia="方正公文黑体" w:cs="方正公文黑体"/>
          <w:b/>
          <w:color w:val="000000"/>
          <w:sz w:val="32"/>
          <w:szCs w:val="32"/>
        </w:rPr>
      </w:pPr>
      <w:r>
        <w:rPr>
          <w:rFonts w:hint="eastAsia" w:ascii="方正公文黑体" w:hAnsi="方正公文黑体" w:eastAsia="方正公文黑体" w:cs="方正公文黑体"/>
          <w:b/>
          <w:color w:val="000000"/>
          <w:sz w:val="32"/>
          <w:szCs w:val="32"/>
        </w:rPr>
        <w:t>一、绩效目标分解下达情况</w:t>
      </w:r>
    </w:p>
    <w:p>
      <w:pPr>
        <w:keepNext w:val="0"/>
        <w:keepLines w:val="0"/>
        <w:pageBreakBefore w:val="0"/>
        <w:widowControl w:val="0"/>
        <w:kinsoku/>
        <w:overflowPunct/>
        <w:topLinePunct w:val="0"/>
        <w:autoSpaceDN/>
        <w:bidi w:val="0"/>
        <w:adjustRightInd/>
        <w:snapToGrid/>
        <w:spacing w:line="600" w:lineRule="atLeast"/>
        <w:ind w:firstLine="643" w:firstLineChars="200"/>
        <w:jc w:val="left"/>
        <w:textAlignment w:val="auto"/>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rPr>
        <w:t>1.</w:t>
      </w:r>
      <w:r>
        <w:rPr>
          <w:rFonts w:hint="eastAsia" w:ascii="方正楷体_GBK" w:hAnsi="方正楷体_GBK" w:eastAsia="方正楷体_GBK" w:cs="方正楷体_GBK"/>
          <w:b/>
          <w:bCs/>
          <w:color w:val="000000"/>
          <w:sz w:val="32"/>
          <w:szCs w:val="32"/>
          <w:lang w:eastAsia="zh-CN"/>
        </w:rPr>
        <w:t>财政衔接推进乡村振兴补助资金</w:t>
      </w:r>
      <w:r>
        <w:rPr>
          <w:rFonts w:hint="eastAsia" w:ascii="方正楷体_GBK" w:hAnsi="方正楷体_GBK" w:eastAsia="方正楷体_GBK" w:cs="方正楷体_GBK"/>
          <w:b/>
          <w:bCs/>
          <w:color w:val="000000"/>
          <w:sz w:val="32"/>
          <w:szCs w:val="32"/>
        </w:rPr>
        <w:t>下达预算及项目情况。</w:t>
      </w:r>
    </w:p>
    <w:p>
      <w:pPr>
        <w:pStyle w:val="17"/>
        <w:pageBreakBefore w:val="0"/>
        <w:widowControl w:val="0"/>
        <w:kinsoku/>
        <w:wordWrap/>
        <w:overflowPunct/>
        <w:topLinePunct w:val="0"/>
        <w:autoSpaceDE/>
        <w:autoSpaceDN/>
        <w:bidi w:val="0"/>
        <w:spacing w:line="600" w:lineRule="atLeas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highlight w:val="none"/>
          <w:lang w:val="en-US" w:eastAsia="zh-CN" w:bidi="ar-SA"/>
        </w:rPr>
        <w:t>根据《关于提前下达2023年中央财政衔接推进乡村振兴补助资金预算的通知》（喀地财振〔2022〕4号）</w:t>
      </w:r>
      <w:r>
        <w:rPr>
          <w:rFonts w:hint="eastAsia" w:ascii="方正仿宋_GBK" w:hAnsi="方正仿宋_GBK" w:eastAsia="方正仿宋_GBK" w:cs="方正仿宋_GBK"/>
          <w:color w:val="000000"/>
          <w:kern w:val="2"/>
          <w:sz w:val="32"/>
          <w:szCs w:val="32"/>
          <w:lang w:val="en-US" w:eastAsia="zh-CN" w:bidi="ar-SA"/>
        </w:rPr>
        <w:t>，下达2023年巩固拓展脱贫攻坚成果同乡村振兴衔接资金，叶城县铁提乡冷藏保鲜库建设项目，项目总投资为349.41万元，通过该项目的实施，可促进铁提乡特色种植产业、绿色无公害果蔬产业的的发展，通过统计收购-加工-冷藏、保鲜-销售提升果蔬产品附加值，将直接带动铁提乡特色种植业的经济发展。</w:t>
      </w:r>
    </w:p>
    <w:p>
      <w:pPr>
        <w:keepNext w:val="0"/>
        <w:keepLines w:val="0"/>
        <w:pageBreakBefore w:val="0"/>
        <w:widowControl w:val="0"/>
        <w:numPr>
          <w:ilvl w:val="0"/>
          <w:numId w:val="0"/>
        </w:numPr>
        <w:kinsoku/>
        <w:overflowPunct/>
        <w:topLinePunct w:val="0"/>
        <w:autoSpaceDN/>
        <w:bidi w:val="0"/>
        <w:adjustRightInd/>
        <w:snapToGrid/>
        <w:spacing w:line="600" w:lineRule="atLeast"/>
        <w:ind w:firstLine="643" w:firstLineChars="200"/>
        <w:jc w:val="left"/>
        <w:textAlignment w:val="auto"/>
        <w:rPr>
          <w:rFonts w:hint="eastAsia" w:ascii="方正楷体_GBK" w:hAnsi="方正楷体_GBK" w:eastAsia="方正楷体_GBK" w:cs="方正楷体_GBK"/>
          <w:color w:val="000000"/>
          <w:kern w:val="2"/>
          <w:sz w:val="32"/>
          <w:szCs w:val="32"/>
          <w:lang w:val="en-US" w:eastAsia="zh-CN" w:bidi="ar-SA"/>
        </w:rPr>
      </w:pPr>
      <w:r>
        <w:rPr>
          <w:rFonts w:hint="eastAsia" w:ascii="方正楷体_GBK" w:hAnsi="方正楷体_GBK" w:eastAsia="方正楷体_GBK" w:cs="方正楷体_GBK"/>
          <w:b/>
          <w:bCs/>
          <w:color w:val="000000"/>
          <w:sz w:val="32"/>
          <w:szCs w:val="32"/>
          <w:lang w:val="en-US" w:eastAsia="zh-CN"/>
        </w:rPr>
        <w:t>2.巩固拓展脱贫攻坚成果同乡村振兴衔接资金</w:t>
      </w:r>
      <w:r>
        <w:rPr>
          <w:rFonts w:hint="eastAsia" w:ascii="方正楷体_GBK" w:hAnsi="方正楷体_GBK" w:eastAsia="方正楷体_GBK" w:cs="方正楷体_GBK"/>
          <w:b/>
          <w:bCs/>
          <w:color w:val="000000"/>
          <w:sz w:val="32"/>
          <w:szCs w:val="32"/>
        </w:rPr>
        <w:t>项目绩效目标设定情况。</w:t>
      </w:r>
    </w:p>
    <w:p>
      <w:pPr>
        <w:pStyle w:val="17"/>
        <w:keepNext w:val="0"/>
        <w:keepLines w:val="0"/>
        <w:pageBreakBefore w:val="0"/>
        <w:widowControl w:val="0"/>
        <w:kinsoku/>
        <w:wordWrap/>
        <w:overflowPunct/>
        <w:topLinePunct w:val="0"/>
        <w:autoSpaceDE/>
        <w:autoSpaceDN/>
        <w:bidi w:val="0"/>
        <w:adjustRightInd/>
        <w:snapToGrid/>
        <w:spacing w:line="600" w:lineRule="atLeas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计划投资349.41万元，资金来源为巩固拓展脱贫攻坚成果同乡村振兴有效衔接资金，建设内容：新建3座600m3保鲜冷藏库及附属配套，每座投资116.47万元。项目的实施可促进铁提乡特色种植产业、绿色无公害果蔬产业的的发展，通过统计收购-加工-冷藏、保鲜-销售提升果蔬产品附加值，将直接带动铁提乡特色种植业的经济发展。</w:t>
      </w:r>
    </w:p>
    <w:p>
      <w:pPr>
        <w:keepNext w:val="0"/>
        <w:keepLines w:val="0"/>
        <w:pageBreakBefore w:val="0"/>
        <w:widowControl w:val="0"/>
        <w:kinsoku/>
        <w:overflowPunct/>
        <w:topLinePunct w:val="0"/>
        <w:autoSpaceDN/>
        <w:bidi w:val="0"/>
        <w:adjustRightInd/>
        <w:snapToGrid/>
        <w:spacing w:line="600" w:lineRule="atLeast"/>
        <w:ind w:firstLine="641" w:firstLineChars="200"/>
        <w:jc w:val="left"/>
        <w:textAlignment w:val="auto"/>
        <w:rPr>
          <w:rFonts w:hint="eastAsia" w:ascii="方正公文黑体" w:hAnsi="方正公文黑体" w:eastAsia="方正公文黑体" w:cs="方正公文黑体"/>
          <w:b/>
          <w:color w:val="000000"/>
          <w:sz w:val="32"/>
          <w:szCs w:val="32"/>
        </w:rPr>
      </w:pPr>
      <w:r>
        <w:rPr>
          <w:rFonts w:hint="eastAsia" w:ascii="方正公文黑体" w:hAnsi="方正公文黑体" w:eastAsia="方正公文黑体" w:cs="方正公文黑体"/>
          <w:b/>
          <w:color w:val="000000"/>
          <w:sz w:val="32"/>
          <w:szCs w:val="32"/>
        </w:rPr>
        <w:t>二、绩效自评工作开展情况</w:t>
      </w:r>
    </w:p>
    <w:p>
      <w:pPr>
        <w:keepNext w:val="0"/>
        <w:keepLines w:val="0"/>
        <w:pageBreakBefore w:val="0"/>
        <w:widowControl w:val="0"/>
        <w:kinsoku/>
        <w:overflowPunct/>
        <w:topLinePunct w:val="0"/>
        <w:autoSpaceDN/>
        <w:bidi w:val="0"/>
        <w:adjustRightInd/>
        <w:snapToGrid/>
        <w:spacing w:line="600" w:lineRule="atLeast"/>
        <w:ind w:firstLine="640" w:firstLineChars="200"/>
        <w:jc w:val="left"/>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包括自评工作开展范围、对象、时间及方式等。</w:t>
      </w:r>
    </w:p>
    <w:p>
      <w:pPr>
        <w:pStyle w:val="17"/>
        <w:keepNext w:val="0"/>
        <w:keepLines w:val="0"/>
        <w:pageBreakBefore w:val="0"/>
        <w:widowControl w:val="0"/>
        <w:kinsoku/>
        <w:wordWrap/>
        <w:overflowPunct/>
        <w:topLinePunct w:val="0"/>
        <w:autoSpaceDE/>
        <w:autoSpaceDN/>
        <w:bidi w:val="0"/>
        <w:adjustRightInd/>
        <w:snapToGrid/>
        <w:spacing w:line="600" w:lineRule="atLeas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1. 绩效评价范围</w:t>
      </w:r>
    </w:p>
    <w:p>
      <w:pPr>
        <w:pStyle w:val="17"/>
        <w:keepNext w:val="0"/>
        <w:keepLines w:val="0"/>
        <w:pageBreakBefore w:val="0"/>
        <w:widowControl w:val="0"/>
        <w:kinsoku/>
        <w:wordWrap/>
        <w:overflowPunct/>
        <w:topLinePunct w:val="0"/>
        <w:autoSpaceDE/>
        <w:autoSpaceDN/>
        <w:bidi w:val="0"/>
        <w:adjustRightInd/>
        <w:snapToGrid/>
        <w:spacing w:line="600" w:lineRule="atLeas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7"/>
        <w:keepNext w:val="0"/>
        <w:keepLines w:val="0"/>
        <w:pageBreakBefore w:val="0"/>
        <w:widowControl w:val="0"/>
        <w:kinsoku/>
        <w:wordWrap/>
        <w:overflowPunct/>
        <w:topLinePunct w:val="0"/>
        <w:autoSpaceDE/>
        <w:autoSpaceDN/>
        <w:bidi w:val="0"/>
        <w:adjustRightInd/>
        <w:snapToGrid/>
        <w:spacing w:line="600" w:lineRule="atLeas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2. 绩效评价对象</w:t>
      </w:r>
    </w:p>
    <w:p>
      <w:pPr>
        <w:pStyle w:val="17"/>
        <w:keepNext w:val="0"/>
        <w:keepLines w:val="0"/>
        <w:pageBreakBefore w:val="0"/>
        <w:widowControl w:val="0"/>
        <w:kinsoku/>
        <w:wordWrap/>
        <w:overflowPunct/>
        <w:topLinePunct w:val="0"/>
        <w:autoSpaceDE/>
        <w:autoSpaceDN/>
        <w:bidi w:val="0"/>
        <w:adjustRightInd/>
        <w:snapToGrid/>
        <w:spacing w:line="600" w:lineRule="atLeas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7"/>
        <w:keepNext w:val="0"/>
        <w:keepLines w:val="0"/>
        <w:pageBreakBefore w:val="0"/>
        <w:widowControl w:val="0"/>
        <w:kinsoku/>
        <w:wordWrap/>
        <w:overflowPunct/>
        <w:topLinePunct w:val="0"/>
        <w:autoSpaceDE/>
        <w:autoSpaceDN/>
        <w:bidi w:val="0"/>
        <w:adjustRightInd/>
        <w:snapToGrid/>
        <w:spacing w:line="600" w:lineRule="atLeas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3.绩效评价时间</w:t>
      </w:r>
    </w:p>
    <w:p>
      <w:pPr>
        <w:pStyle w:val="17"/>
        <w:keepNext w:val="0"/>
        <w:keepLines w:val="0"/>
        <w:pageBreakBefore w:val="0"/>
        <w:widowControl w:val="0"/>
        <w:kinsoku/>
        <w:wordWrap/>
        <w:overflowPunct/>
        <w:topLinePunct w:val="0"/>
        <w:autoSpaceDE/>
        <w:autoSpaceDN/>
        <w:bidi w:val="0"/>
        <w:adjustRightInd/>
        <w:snapToGrid/>
        <w:spacing w:line="600" w:lineRule="atLeas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2024年1月1日-2024年1月31日</w:t>
      </w:r>
    </w:p>
    <w:p>
      <w:pPr>
        <w:pStyle w:val="17"/>
        <w:keepNext w:val="0"/>
        <w:keepLines w:val="0"/>
        <w:pageBreakBefore w:val="0"/>
        <w:widowControl w:val="0"/>
        <w:kinsoku/>
        <w:wordWrap/>
        <w:overflowPunct/>
        <w:topLinePunct w:val="0"/>
        <w:autoSpaceDE/>
        <w:autoSpaceDN/>
        <w:bidi w:val="0"/>
        <w:adjustRightInd/>
        <w:snapToGrid/>
        <w:spacing w:line="600" w:lineRule="atLeast"/>
        <w:ind w:firstLine="640"/>
        <w:textAlignment w:val="auto"/>
        <w:rPr>
          <w:rFonts w:hint="eastAsia" w:ascii="方正楷体_GBK" w:hAnsi="方正楷体_GBK" w:eastAsia="方正楷体_GBK" w:cs="方正楷体_GBK"/>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4. 绩效评价方法</w:t>
      </w:r>
    </w:p>
    <w:p>
      <w:pPr>
        <w:pStyle w:val="17"/>
        <w:keepNext w:val="0"/>
        <w:keepLines w:val="0"/>
        <w:pageBreakBefore w:val="0"/>
        <w:widowControl w:val="0"/>
        <w:kinsoku/>
        <w:wordWrap/>
        <w:overflowPunct/>
        <w:topLinePunct w:val="0"/>
        <w:autoSpaceDE/>
        <w:autoSpaceDN/>
        <w:bidi w:val="0"/>
        <w:adjustRightInd/>
        <w:snapToGrid/>
        <w:spacing w:line="600" w:lineRule="atLeas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本次绩效评价方法的选用坚持简便有效的原则采用综合分析法。</w:t>
      </w:r>
    </w:p>
    <w:p>
      <w:pPr>
        <w:pStyle w:val="17"/>
        <w:keepNext w:val="0"/>
        <w:keepLines w:val="0"/>
        <w:pageBreakBefore w:val="0"/>
        <w:widowControl w:val="0"/>
        <w:kinsoku/>
        <w:wordWrap/>
        <w:overflowPunct/>
        <w:topLinePunct w:val="0"/>
        <w:autoSpaceDE/>
        <w:autoSpaceDN/>
        <w:bidi w:val="0"/>
        <w:adjustRightInd/>
        <w:snapToGrid/>
        <w:spacing w:line="600" w:lineRule="atLeas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5. 绩效评价标准</w:t>
      </w:r>
    </w:p>
    <w:p>
      <w:pPr>
        <w:pStyle w:val="17"/>
        <w:keepNext w:val="0"/>
        <w:keepLines w:val="0"/>
        <w:pageBreakBefore w:val="0"/>
        <w:widowControl w:val="0"/>
        <w:kinsoku/>
        <w:wordWrap/>
        <w:overflowPunct/>
        <w:topLinePunct w:val="0"/>
        <w:autoSpaceDE/>
        <w:autoSpaceDN/>
        <w:bidi w:val="0"/>
        <w:adjustRightInd/>
        <w:snapToGrid/>
        <w:spacing w:line="600" w:lineRule="atLeas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绩效评价标准通常包括计划标准、行业标准、历史标准等，用于对绩效指标完成情况进行比较、分析、评价。本次评价主要采用了计划标准。</w:t>
      </w:r>
    </w:p>
    <w:p>
      <w:pPr>
        <w:pStyle w:val="17"/>
        <w:keepNext w:val="0"/>
        <w:keepLines w:val="0"/>
        <w:pageBreakBefore w:val="0"/>
        <w:widowControl w:val="0"/>
        <w:kinsoku/>
        <w:wordWrap/>
        <w:overflowPunct/>
        <w:topLinePunct w:val="0"/>
        <w:autoSpaceDE/>
        <w:autoSpaceDN/>
        <w:bidi w:val="0"/>
        <w:adjustRightInd/>
        <w:snapToGrid/>
        <w:spacing w:line="600" w:lineRule="atLeast"/>
        <w:ind w:firstLine="640"/>
        <w:textAlignment w:val="auto"/>
        <w:rPr>
          <w:rFonts w:hint="eastAsia" w:ascii="方正仿宋_GBK" w:hAnsi="方正仿宋_GBK" w:eastAsia="方正仿宋_GBK" w:cs="方正仿宋_GBK"/>
          <w:color w:val="000000"/>
          <w:kern w:val="2"/>
          <w:sz w:val="32"/>
          <w:szCs w:val="32"/>
          <w:lang w:val="en-US" w:eastAsia="zh-CN" w:bidi="ar-SA"/>
        </w:rPr>
      </w:pPr>
      <w:bookmarkStart w:id="0" w:name="_Toc31464"/>
      <w:bookmarkStart w:id="1" w:name="_Toc17882"/>
      <w:r>
        <w:rPr>
          <w:rFonts w:hint="eastAsia" w:ascii="方正仿宋_GBK" w:hAnsi="方正仿宋_GBK" w:eastAsia="方正仿宋_GBK" w:cs="方正仿宋_GBK"/>
          <w:color w:val="000000"/>
          <w:kern w:val="2"/>
          <w:sz w:val="32"/>
          <w:szCs w:val="32"/>
          <w:lang w:val="en-US" w:eastAsia="zh-CN" w:bidi="ar-SA"/>
        </w:rPr>
        <w:t>计划标准：指以预先制定的目标、计划、预算、定额等作为评价标准。</w:t>
      </w:r>
      <w:bookmarkEnd w:id="0"/>
      <w:bookmarkEnd w:id="1"/>
    </w:p>
    <w:p>
      <w:pPr>
        <w:pStyle w:val="17"/>
        <w:keepNext w:val="0"/>
        <w:keepLines w:val="0"/>
        <w:pageBreakBefore w:val="0"/>
        <w:widowControl w:val="0"/>
        <w:kinsoku/>
        <w:wordWrap/>
        <w:overflowPunct/>
        <w:topLinePunct w:val="0"/>
        <w:autoSpaceDE/>
        <w:autoSpaceDN/>
        <w:bidi w:val="0"/>
        <w:adjustRightInd/>
        <w:snapToGrid/>
        <w:spacing w:line="600" w:lineRule="atLeast"/>
        <w:ind w:firstLine="640"/>
        <w:textAlignment w:val="auto"/>
        <w:rPr>
          <w:rFonts w:hint="eastAsia" w:ascii="方正仿宋_GBK" w:hAnsi="方正仿宋_GBK" w:eastAsia="方正仿宋_GBK" w:cs="方正仿宋_GBK"/>
          <w:color w:val="000000"/>
          <w:kern w:val="2"/>
          <w:sz w:val="32"/>
          <w:szCs w:val="32"/>
          <w:lang w:val="en-US" w:eastAsia="zh-CN" w:bidi="ar-SA"/>
        </w:rPr>
      </w:pPr>
      <w:bookmarkStart w:id="2" w:name="_Toc5633"/>
      <w:bookmarkStart w:id="3" w:name="_Toc2318"/>
      <w:r>
        <w:rPr>
          <w:rFonts w:hint="eastAsia" w:ascii="方正仿宋_GBK" w:hAnsi="方正仿宋_GBK" w:eastAsia="方正仿宋_GBK" w:cs="方正仿宋_GBK"/>
          <w:color w:val="000000"/>
          <w:kern w:val="2"/>
          <w:sz w:val="32"/>
          <w:szCs w:val="32"/>
          <w:lang w:val="en-US" w:eastAsia="zh-CN" w:bidi="ar-SA"/>
        </w:rPr>
        <w:t>行业标准：指参照国家公布的行业指标数据制定的评价标准。</w:t>
      </w:r>
      <w:bookmarkEnd w:id="2"/>
      <w:bookmarkEnd w:id="3"/>
    </w:p>
    <w:p>
      <w:pPr>
        <w:pStyle w:val="17"/>
        <w:keepNext w:val="0"/>
        <w:keepLines w:val="0"/>
        <w:pageBreakBefore w:val="0"/>
        <w:widowControl w:val="0"/>
        <w:kinsoku/>
        <w:wordWrap/>
        <w:overflowPunct/>
        <w:topLinePunct w:val="0"/>
        <w:autoSpaceDE/>
        <w:autoSpaceDN/>
        <w:bidi w:val="0"/>
        <w:adjustRightInd/>
        <w:snapToGrid/>
        <w:spacing w:line="600" w:lineRule="atLeast"/>
        <w:ind w:firstLine="640"/>
        <w:textAlignment w:val="auto"/>
        <w:rPr>
          <w:rFonts w:hint="eastAsia" w:ascii="方正仿宋_GBK" w:hAnsi="方正仿宋_GBK" w:eastAsia="方正仿宋_GBK" w:cs="方正仿宋_GBK"/>
          <w:color w:val="000000"/>
          <w:kern w:val="2"/>
          <w:sz w:val="32"/>
          <w:szCs w:val="32"/>
          <w:lang w:val="en-US" w:eastAsia="zh-CN" w:bidi="ar-SA"/>
        </w:rPr>
      </w:pPr>
      <w:bookmarkStart w:id="4" w:name="_Toc16028"/>
      <w:bookmarkStart w:id="5" w:name="_Toc430"/>
      <w:r>
        <w:rPr>
          <w:rFonts w:hint="eastAsia" w:ascii="方正仿宋_GBK" w:hAnsi="方正仿宋_GBK" w:eastAsia="方正仿宋_GBK" w:cs="方正仿宋_GBK"/>
          <w:color w:val="000000"/>
          <w:kern w:val="2"/>
          <w:sz w:val="32"/>
          <w:szCs w:val="32"/>
          <w:lang w:val="en-US" w:eastAsia="zh-CN" w:bidi="ar-SA"/>
        </w:rPr>
        <w:t>历史标准：指参照历史数据制定的评价标准，为体现绩效改进的原则，在可实现的条件下应当确定相对较高的评价标准。</w:t>
      </w:r>
      <w:bookmarkEnd w:id="4"/>
      <w:bookmarkEnd w:id="5"/>
    </w:p>
    <w:p>
      <w:pPr>
        <w:keepNext w:val="0"/>
        <w:keepLines w:val="0"/>
        <w:pageBreakBefore w:val="0"/>
        <w:widowControl w:val="0"/>
        <w:kinsoku/>
        <w:overflowPunct/>
        <w:topLinePunct w:val="0"/>
        <w:autoSpaceDN/>
        <w:bidi w:val="0"/>
        <w:adjustRightInd/>
        <w:snapToGrid/>
        <w:spacing w:line="600" w:lineRule="atLeast"/>
        <w:ind w:firstLine="641" w:firstLineChars="200"/>
        <w:jc w:val="left"/>
        <w:textAlignment w:val="auto"/>
        <w:rPr>
          <w:rFonts w:hint="eastAsia" w:ascii="方正公文黑体" w:hAnsi="方正公文黑体" w:eastAsia="方正公文黑体" w:cs="方正公文黑体"/>
          <w:b/>
          <w:color w:val="000000"/>
          <w:sz w:val="32"/>
          <w:szCs w:val="32"/>
        </w:rPr>
      </w:pPr>
      <w:r>
        <w:rPr>
          <w:rFonts w:hint="eastAsia" w:ascii="方正公文黑体" w:hAnsi="方正公文黑体" w:eastAsia="方正公文黑体" w:cs="方正公文黑体"/>
          <w:b/>
          <w:color w:val="000000"/>
          <w:sz w:val="32"/>
          <w:szCs w:val="32"/>
        </w:rPr>
        <w:t>三、绩效目标自评完成情况分析</w:t>
      </w:r>
    </w:p>
    <w:p>
      <w:pPr>
        <w:keepNext w:val="0"/>
        <w:keepLines w:val="0"/>
        <w:pageBreakBefore w:val="0"/>
        <w:widowControl w:val="0"/>
        <w:kinsoku/>
        <w:overflowPunct/>
        <w:topLinePunct w:val="0"/>
        <w:autoSpaceDN/>
        <w:bidi w:val="0"/>
        <w:adjustRightInd/>
        <w:snapToGrid/>
        <w:spacing w:line="600" w:lineRule="atLeast"/>
        <w:ind w:firstLine="643" w:firstLineChars="200"/>
        <w:jc w:val="left"/>
        <w:textAlignment w:val="auto"/>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rPr>
        <w:t>(一）资金投入情况分析。</w:t>
      </w:r>
    </w:p>
    <w:p>
      <w:pPr>
        <w:keepNext w:val="0"/>
        <w:keepLines w:val="0"/>
        <w:pageBreakBefore w:val="0"/>
        <w:widowControl w:val="0"/>
        <w:kinsoku/>
        <w:overflowPunct/>
        <w:topLinePunct w:val="0"/>
        <w:autoSpaceDN/>
        <w:bidi w:val="0"/>
        <w:adjustRightInd/>
        <w:snapToGrid/>
        <w:spacing w:line="600" w:lineRule="atLeast"/>
        <w:ind w:firstLine="643" w:firstLineChars="200"/>
        <w:jc w:val="left"/>
        <w:textAlignment w:val="auto"/>
        <w:rPr>
          <w:rFonts w:hint="eastAsia" w:ascii="方正仿宋_GBK" w:hAnsi="方正仿宋_GBK" w:eastAsia="方正仿宋_GBK" w:cs="方正仿宋_GBK"/>
          <w:b/>
          <w:bCs/>
          <w:color w:val="000000"/>
          <w:sz w:val="32"/>
          <w:szCs w:val="32"/>
          <w:highlight w:val="none"/>
        </w:rPr>
      </w:pPr>
      <w:r>
        <w:rPr>
          <w:rFonts w:hint="eastAsia" w:ascii="方正仿宋_GBK" w:hAnsi="方正仿宋_GBK" w:eastAsia="方正仿宋_GBK" w:cs="方正仿宋_GBK"/>
          <w:b/>
          <w:bCs/>
          <w:color w:val="000000"/>
          <w:sz w:val="32"/>
          <w:szCs w:val="32"/>
        </w:rPr>
        <w:t>1.项</w:t>
      </w:r>
      <w:r>
        <w:rPr>
          <w:rFonts w:hint="eastAsia" w:ascii="方正仿宋_GBK" w:hAnsi="方正仿宋_GBK" w:eastAsia="方正仿宋_GBK" w:cs="方正仿宋_GBK"/>
          <w:b/>
          <w:bCs/>
          <w:color w:val="000000"/>
          <w:sz w:val="32"/>
          <w:szCs w:val="32"/>
          <w:highlight w:val="none"/>
        </w:rPr>
        <w:t>目资金到位情况分析。</w:t>
      </w:r>
    </w:p>
    <w:p>
      <w:pPr>
        <w:pStyle w:val="17"/>
        <w:keepNext w:val="0"/>
        <w:keepLines w:val="0"/>
        <w:pageBreakBefore w:val="0"/>
        <w:widowControl w:val="0"/>
        <w:kinsoku/>
        <w:wordWrap/>
        <w:overflowPunct/>
        <w:topLinePunct w:val="0"/>
        <w:autoSpaceDE/>
        <w:autoSpaceDN/>
        <w:bidi w:val="0"/>
        <w:adjustRightInd/>
        <w:snapToGrid/>
        <w:spacing w:line="600" w:lineRule="atLeas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highlight w:val="none"/>
          <w:lang w:val="en-US" w:eastAsia="zh-CN" w:bidi="ar-SA"/>
        </w:rPr>
        <w:t>该项目</w:t>
      </w:r>
      <w:r>
        <w:rPr>
          <w:rFonts w:hint="eastAsia" w:ascii="方正仿宋_GBK" w:hAnsi="方正仿宋_GBK" w:eastAsia="方正仿宋_GBK" w:cs="方正仿宋_GBK"/>
          <w:color w:val="000000"/>
          <w:kern w:val="2"/>
          <w:sz w:val="32"/>
          <w:szCs w:val="32"/>
          <w:lang w:val="en-US" w:eastAsia="zh-CN" w:bidi="ar-SA"/>
        </w:rPr>
        <w:t>下达资金349.41万元，到位资金349.41万元，为衔接资金，最终确定项目资金总数为349.41万元。</w:t>
      </w:r>
    </w:p>
    <w:p>
      <w:pPr>
        <w:pStyle w:val="17"/>
        <w:keepNext w:val="0"/>
        <w:keepLines w:val="0"/>
        <w:pageBreakBefore w:val="0"/>
        <w:widowControl w:val="0"/>
        <w:kinsoku/>
        <w:wordWrap/>
        <w:overflowPunct/>
        <w:topLinePunct w:val="0"/>
        <w:autoSpaceDE/>
        <w:autoSpaceDN/>
        <w:bidi w:val="0"/>
        <w:adjustRightInd/>
        <w:snapToGrid/>
        <w:spacing w:line="600" w:lineRule="atLeas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2.项目资金执行情况分析。</w:t>
      </w:r>
    </w:p>
    <w:p>
      <w:pPr>
        <w:pStyle w:val="17"/>
        <w:keepNext w:val="0"/>
        <w:keepLines w:val="0"/>
        <w:pageBreakBefore w:val="0"/>
        <w:widowControl w:val="0"/>
        <w:kinsoku/>
        <w:wordWrap/>
        <w:overflowPunct/>
        <w:topLinePunct w:val="0"/>
        <w:autoSpaceDE/>
        <w:autoSpaceDN/>
        <w:bidi w:val="0"/>
        <w:adjustRightInd/>
        <w:snapToGrid/>
        <w:spacing w:line="600" w:lineRule="atLeas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截至2023年12月31日，实际支出349.41万元，预算执行率100%。</w:t>
      </w:r>
    </w:p>
    <w:p>
      <w:pPr>
        <w:pStyle w:val="17"/>
        <w:keepNext w:val="0"/>
        <w:keepLines w:val="0"/>
        <w:pageBreakBefore w:val="0"/>
        <w:widowControl w:val="0"/>
        <w:kinsoku/>
        <w:wordWrap/>
        <w:overflowPunct/>
        <w:topLinePunct w:val="0"/>
        <w:autoSpaceDE/>
        <w:autoSpaceDN/>
        <w:bidi w:val="0"/>
        <w:adjustRightInd/>
        <w:snapToGrid/>
        <w:spacing w:line="600" w:lineRule="atLeas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3.项目资金管理情况分析。</w:t>
      </w:r>
    </w:p>
    <w:p>
      <w:pPr>
        <w:pStyle w:val="17"/>
        <w:keepNext w:val="0"/>
        <w:keepLines w:val="0"/>
        <w:pageBreakBefore w:val="0"/>
        <w:widowControl w:val="0"/>
        <w:kinsoku/>
        <w:wordWrap/>
        <w:overflowPunct/>
        <w:topLinePunct w:val="0"/>
        <w:autoSpaceDE/>
        <w:autoSpaceDN/>
        <w:bidi w:val="0"/>
        <w:adjustRightInd/>
        <w:snapToGrid/>
        <w:spacing w:line="600" w:lineRule="atLeas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项目支出符合《喀什地区财政巩固拓展脱贫攻坚成果同乡村振兴有效衔接资金管理办法（试行）》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bookmarkStart w:id="6" w:name="_GoBack"/>
      <w:bookmarkEnd w:id="6"/>
    </w:p>
    <w:p>
      <w:pPr>
        <w:keepNext w:val="0"/>
        <w:keepLines w:val="0"/>
        <w:pageBreakBefore w:val="0"/>
        <w:widowControl w:val="0"/>
        <w:kinsoku/>
        <w:overflowPunct/>
        <w:topLinePunct w:val="0"/>
        <w:autoSpaceDN/>
        <w:bidi w:val="0"/>
        <w:adjustRightInd/>
        <w:snapToGrid/>
        <w:spacing w:line="600" w:lineRule="atLeast"/>
        <w:ind w:firstLine="643" w:firstLineChars="200"/>
        <w:jc w:val="left"/>
        <w:textAlignment w:val="auto"/>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rPr>
        <w:t>(二）绩效目标完成情况分析。</w:t>
      </w:r>
    </w:p>
    <w:p>
      <w:pPr>
        <w:keepNext w:val="0"/>
        <w:keepLines w:val="0"/>
        <w:pageBreakBefore w:val="0"/>
        <w:widowControl w:val="0"/>
        <w:kinsoku/>
        <w:overflowPunct/>
        <w:topLinePunct w:val="0"/>
        <w:autoSpaceDN/>
        <w:bidi w:val="0"/>
        <w:adjustRightInd/>
        <w:snapToGrid/>
        <w:spacing w:line="600" w:lineRule="atLeast"/>
        <w:ind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z w:val="32"/>
          <w:szCs w:val="32"/>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atLeas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（1）对于“产出数量”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atLeas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兴边富民整村推进村数量1个，与预期目标一致，指标标杆分值为6分，根据评分标准，该指标不扣分。得6分</w:t>
      </w:r>
      <w:r>
        <w:rPr>
          <w:rFonts w:hint="eastAsia" w:ascii="方正仿宋_GBK" w:hAnsi="方正仿宋_GBK" w:eastAsia="方正仿宋_GBK" w:cs="方正仿宋_GBK"/>
          <w:color w:val="000000"/>
          <w:kern w:val="2"/>
          <w:sz w:val="32"/>
          <w:szCs w:val="32"/>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atLeas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
        </w:rPr>
      </w:pPr>
      <w:r>
        <w:rPr>
          <w:rFonts w:hint="eastAsia" w:ascii="方正仿宋_GBK" w:hAnsi="方正仿宋_GBK" w:eastAsia="方正仿宋_GBK" w:cs="方正仿宋_GBK"/>
          <w:color w:val="000000"/>
          <w:kern w:val="2"/>
          <w:sz w:val="32"/>
          <w:szCs w:val="32"/>
          <w:lang w:val="en-US" w:eastAsia="zh-CN" w:bidi="ar-SA"/>
        </w:rPr>
        <w:t>新建保鲜库数量3座，与预期目标一致，指标标杆分值为7分，根据评分标准，该指标不扣分。得7分</w:t>
      </w:r>
      <w:r>
        <w:rPr>
          <w:rFonts w:hint="eastAsia" w:ascii="方正仿宋_GBK" w:hAnsi="方正仿宋_GBK" w:eastAsia="方正仿宋_GBK" w:cs="方正仿宋_GBK"/>
          <w:color w:val="000000"/>
          <w:kern w:val="2"/>
          <w:sz w:val="32"/>
          <w:szCs w:val="32"/>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atLeas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
        </w:rPr>
      </w:pPr>
      <w:r>
        <w:rPr>
          <w:rFonts w:hint="eastAsia" w:ascii="方正仿宋_GBK" w:hAnsi="方正仿宋_GBK" w:eastAsia="方正仿宋_GBK" w:cs="方正仿宋_GBK"/>
          <w:color w:val="000000"/>
          <w:kern w:val="2"/>
          <w:sz w:val="32"/>
          <w:szCs w:val="32"/>
          <w:lang w:val="en-US" w:eastAsia="zh-CN" w:bidi="ar-SA"/>
        </w:rPr>
        <w:t>新建保鲜库容量1800立方米，与预期目标一致，指标标杆分值为7分，根据评分标准，该指标不扣分。得7分</w:t>
      </w:r>
      <w:r>
        <w:rPr>
          <w:rFonts w:hint="eastAsia" w:ascii="方正仿宋_GBK" w:hAnsi="方正仿宋_GBK" w:eastAsia="方正仿宋_GBK" w:cs="方正仿宋_GBK"/>
          <w:color w:val="000000"/>
          <w:kern w:val="2"/>
          <w:sz w:val="32"/>
          <w:szCs w:val="32"/>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atLeas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合计得20分。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atLeas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atLeas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项目验收合格率100%，与预期目标一致，指标标杆分值为6分,根据评分标准，该指标不扣分，得6分。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atLeas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atLeas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atLeas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 xml:space="preserve">项目开工时间2023年5月，由于项目施工许可证办理延误导致开工时间延误一个月，指标标杆分值为6分,根据评分标准，该指标扣1分，得5分。    </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atLeas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项目完工时间2023年6月，与预期目标一致，指标标杆分值为6分,根据评分标准，该指标不扣分，6分。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atLeas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项目完成及时率100%，与预期目标一致，指标标杆分值为6分，根据评分标准，该指标不扣分，得6分。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atLeas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合计得17分。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atLeas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atLeas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保鲜库建设成本116.47万元/座，与预期目标一致。指标标杆分值为6分，根据评分标准，该指标不扣分，得6分。</w:t>
      </w:r>
    </w:p>
    <w:p>
      <w:pPr>
        <w:pStyle w:val="4"/>
        <w:keepNext w:val="0"/>
        <w:keepLines w:val="0"/>
        <w:pageBreakBefore w:val="0"/>
        <w:widowControl w:val="0"/>
        <w:kinsoku/>
        <w:overflowPunct/>
        <w:topLinePunct w:val="0"/>
        <w:autoSpaceDN/>
        <w:bidi w:val="0"/>
        <w:adjustRightInd/>
        <w:snapToGrid/>
        <w:spacing w:line="600" w:lineRule="atLeas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合计得6分。</w:t>
      </w:r>
    </w:p>
    <w:p>
      <w:pPr>
        <w:pStyle w:val="4"/>
        <w:keepNext w:val="0"/>
        <w:keepLines w:val="0"/>
        <w:pageBreakBefore w:val="0"/>
        <w:widowControl w:val="0"/>
        <w:kinsoku/>
        <w:overflowPunct/>
        <w:topLinePunct w:val="0"/>
        <w:autoSpaceDN/>
        <w:bidi w:val="0"/>
        <w:adjustRightInd/>
        <w:snapToGrid/>
        <w:spacing w:line="600" w:lineRule="atLeas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color w:val="000000"/>
          <w:kern w:val="2"/>
          <w:sz w:val="32"/>
          <w:szCs w:val="32"/>
          <w:lang w:val="en-US" w:eastAsia="zh-CN" w:bidi="ar-SA"/>
        </w:rPr>
        <w:t>产出指标合计得49分。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atLeast"/>
        <w:ind w:left="0" w:right="0" w:firstLine="643" w:firstLineChars="200"/>
        <w:jc w:val="left"/>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atLeas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（1）对于“经济效益指标”：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atLeas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带动增加受益脱贫户人口全年总收入74.54万元，与预期目标一致，指标标杆分值为10分，根据评分标准，该指标不扣分，得10分。</w:t>
      </w:r>
    </w:p>
    <w:p>
      <w:pPr>
        <w:pStyle w:val="4"/>
        <w:keepNext w:val="0"/>
        <w:keepLines w:val="0"/>
        <w:pageBreakBefore w:val="0"/>
        <w:widowControl w:val="0"/>
        <w:kinsoku/>
        <w:overflowPunct/>
        <w:topLinePunct w:val="0"/>
        <w:autoSpaceDN/>
        <w:bidi w:val="0"/>
        <w:adjustRightInd/>
        <w:snapToGrid/>
        <w:spacing w:line="600" w:lineRule="atLeas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atLeas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atLeas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带动脱贫户和边缘易致贫户人数47人，与预期目标一致，指标标杆分值为10分，根据评分标准，该指标不扣分，得10分。</w:t>
      </w:r>
    </w:p>
    <w:p>
      <w:pPr>
        <w:pStyle w:val="4"/>
        <w:keepNext w:val="0"/>
        <w:keepLines w:val="0"/>
        <w:pageBreakBefore w:val="0"/>
        <w:widowControl w:val="0"/>
        <w:kinsoku/>
        <w:overflowPunct/>
        <w:topLinePunct w:val="0"/>
        <w:autoSpaceDN/>
        <w:bidi w:val="0"/>
        <w:adjustRightInd/>
        <w:snapToGrid/>
        <w:spacing w:line="600" w:lineRule="atLeas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color w:val="000000"/>
          <w:kern w:val="2"/>
          <w:sz w:val="32"/>
          <w:szCs w:val="32"/>
          <w:lang w:val="en-US" w:eastAsia="zh-CN" w:bidi="ar-SA"/>
        </w:rPr>
        <w:t>合计得10分。</w:t>
      </w:r>
    </w:p>
    <w:p>
      <w:pPr>
        <w:pStyle w:val="4"/>
        <w:keepNext w:val="0"/>
        <w:keepLines w:val="0"/>
        <w:pageBreakBefore w:val="0"/>
        <w:widowControl w:val="0"/>
        <w:numPr>
          <w:ilvl w:val="0"/>
          <w:numId w:val="1"/>
        </w:numPr>
        <w:kinsoku/>
        <w:overflowPunct/>
        <w:topLinePunct w:val="0"/>
        <w:autoSpaceDN/>
        <w:bidi w:val="0"/>
        <w:adjustRightInd/>
        <w:snapToGrid/>
        <w:spacing w:line="600" w:lineRule="atLeast"/>
        <w:ind w:left="0" w:leftChars="0"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对于“生态效益指标”：</w:t>
      </w:r>
    </w:p>
    <w:p>
      <w:pPr>
        <w:pStyle w:val="4"/>
        <w:keepNext w:val="0"/>
        <w:keepLines w:val="0"/>
        <w:pageBreakBefore w:val="0"/>
        <w:widowControl w:val="0"/>
        <w:numPr>
          <w:ilvl w:val="0"/>
          <w:numId w:val="0"/>
        </w:numPr>
        <w:kinsoku/>
        <w:overflowPunct/>
        <w:topLinePunct w:val="0"/>
        <w:autoSpaceDN/>
        <w:bidi w:val="0"/>
        <w:adjustRightInd/>
        <w:snapToGrid/>
        <w:spacing w:line="600" w:lineRule="atLeast"/>
        <w:ind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该项目无生态效益指标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atLeas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（4）对于“可持续影响指标”：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atLeas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保鲜库使用年限20年以上，与预期目标一致，指标标杆分值为10分，根据评分标准，该指标不扣分，得10分。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atLeas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atLeast"/>
        <w:ind w:left="0" w:right="0" w:firstLine="643" w:firstLineChars="200"/>
        <w:jc w:val="left"/>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atLeas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对于“满意度指标”：受益脱贫户人口满意度95%，与预期目标一致，根据评分标准，该指标不扣分,得10分。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atLeast"/>
        <w:ind w:right="0" w:firstLine="641" w:firstLineChars="200"/>
        <w:jc w:val="left"/>
        <w:textAlignment w:val="auto"/>
        <w:rPr>
          <w:rFonts w:hint="eastAsia" w:ascii="方正公文黑体" w:hAnsi="方正公文黑体" w:eastAsia="方正公文黑体" w:cs="方正公文黑体"/>
          <w:b/>
          <w:bCs/>
          <w:color w:val="000000"/>
          <w:kern w:val="2"/>
          <w:sz w:val="32"/>
          <w:szCs w:val="32"/>
          <w:lang w:val="en-US" w:eastAsia="zh-CN" w:bidi="ar-SA"/>
        </w:rPr>
      </w:pPr>
      <w:r>
        <w:rPr>
          <w:rFonts w:hint="eastAsia" w:ascii="方正公文黑体" w:hAnsi="方正公文黑体" w:eastAsia="方正公文黑体" w:cs="方正公文黑体"/>
          <w:b/>
          <w:bCs/>
          <w:color w:val="000000"/>
          <w:kern w:val="2"/>
          <w:sz w:val="32"/>
          <w:szCs w:val="32"/>
          <w:lang w:val="en-US" w:eastAsia="zh-CN" w:bidi="ar-SA"/>
        </w:rPr>
        <w:t>四、偏离绩效目标的原因和下一步改进措施</w:t>
      </w:r>
    </w:p>
    <w:p>
      <w:pPr>
        <w:pStyle w:val="17"/>
        <w:pageBreakBefore w:val="0"/>
        <w:widowControl w:val="0"/>
        <w:kinsoku/>
        <w:wordWrap/>
        <w:overflowPunct/>
        <w:topLinePunct w:val="0"/>
        <w:autoSpaceDE/>
        <w:autoSpaceDN/>
        <w:bidi w:val="0"/>
        <w:spacing w:line="600" w:lineRule="atLeas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叶城县铁提乡冷藏保鲜库建设项目预算349.41万元，到位349.41万元，实际支出349.41万元，预算执行率为100%，项目绩效指标总体完成率为99.17%。偏差原因:项目设计、地勘等前期工作于2023年3月开始准备，实际签订施工合同日期为4月，但因项目施工许可证办理延误导致开工时间延误，改进措施：下一步将加强部门预算编制管理，提升预算编制科学化、规范化、精细化，加大监管力度，及时督促施工方办理相关手续。</w:t>
      </w:r>
    </w:p>
    <w:p>
      <w:pPr>
        <w:pStyle w:val="18"/>
        <w:keepNext/>
        <w:keepLines/>
        <w:pageBreakBefore w:val="0"/>
        <w:widowControl w:val="0"/>
        <w:kinsoku/>
        <w:wordWrap/>
        <w:overflowPunct/>
        <w:topLinePunct w:val="0"/>
        <w:autoSpaceDE/>
        <w:autoSpaceDN/>
        <w:bidi w:val="0"/>
        <w:adjustRightInd/>
        <w:snapToGrid/>
        <w:spacing w:line="600" w:lineRule="atLeast"/>
        <w:ind w:left="0" w:leftChars="0" w:firstLine="641" w:firstLineChars="200"/>
        <w:textAlignment w:val="auto"/>
        <w:rPr>
          <w:rFonts w:hint="eastAsia" w:ascii="方正公文黑体" w:hAnsi="方正公文黑体" w:eastAsia="方正公文黑体" w:cs="方正公文黑体"/>
          <w:b/>
          <w:bCs/>
          <w:color w:val="auto"/>
          <w:sz w:val="32"/>
          <w:highlight w:val="none"/>
        </w:rPr>
      </w:pPr>
      <w:r>
        <w:rPr>
          <w:rFonts w:hint="eastAsia" w:ascii="方正公文黑体" w:hAnsi="方正公文黑体" w:eastAsia="方正公文黑体" w:cs="方正公文黑体"/>
          <w:b/>
          <w:bCs/>
          <w:color w:val="auto"/>
          <w:kern w:val="2"/>
          <w:sz w:val="32"/>
          <w:szCs w:val="32"/>
          <w:highlight w:val="none"/>
          <w:lang w:val="en-US" w:eastAsia="zh-CN" w:bidi="ar-SA"/>
        </w:rPr>
        <w:t>五、综合评价结论</w:t>
      </w:r>
    </w:p>
    <w:p>
      <w:pPr>
        <w:keepNext w:val="0"/>
        <w:keepLines w:val="0"/>
        <w:pageBreakBefore w:val="0"/>
        <w:widowControl w:val="0"/>
        <w:kinsoku/>
        <w:wordWrap/>
        <w:overflowPunct/>
        <w:topLinePunct w:val="0"/>
        <w:autoSpaceDE/>
        <w:autoSpaceDN/>
        <w:bidi w:val="0"/>
        <w:adjustRightInd w:val="0"/>
        <w:snapToGrid w:val="0"/>
        <w:spacing w:line="600" w:lineRule="atLeast"/>
        <w:ind w:left="0" w:leftChars="0" w:firstLine="640" w:firstLineChars="200"/>
        <w:jc w:val="both"/>
        <w:textAlignment w:val="auto"/>
        <w:outlineLvl w:val="9"/>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评价结果分为优、良、中、差四个等级：优（90分（含）—100分）；良（80分（含）—90分）；中（60分（含）—80分）；差（0分—60分）。</w:t>
      </w:r>
    </w:p>
    <w:p>
      <w:pPr>
        <w:keepNext w:val="0"/>
        <w:keepLines w:val="0"/>
        <w:pageBreakBefore w:val="0"/>
        <w:widowControl w:val="0"/>
        <w:kinsoku/>
        <w:wordWrap/>
        <w:overflowPunct/>
        <w:topLinePunct w:val="0"/>
        <w:autoSpaceDE/>
        <w:autoSpaceDN/>
        <w:bidi w:val="0"/>
        <w:adjustRightInd w:val="0"/>
        <w:snapToGrid w:val="0"/>
        <w:spacing w:line="600" w:lineRule="atLeast"/>
        <w:ind w:left="0" w:leftChars="0" w:firstLine="640" w:firstLineChars="200"/>
        <w:jc w:val="both"/>
        <w:textAlignment w:val="auto"/>
        <w:outlineLvl w:val="9"/>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叶城县铁提乡冷藏保鲜库建设项目新建3座600m³保鲜冷藏库及附属配套，项目的建成促进铁提乡特色种植产业、绿色无公害果蔬产业的的发展，通过统计收购-加工-冷藏、保鲜-销售提升果蔬产品附加值，将直接带动铁提乡特色种植业的经济发展。该项目最终评分99分，绩效评级为“优”。</w:t>
      </w:r>
    </w:p>
    <w:p>
      <w:pPr>
        <w:keepNext w:val="0"/>
        <w:keepLines w:val="0"/>
        <w:pageBreakBefore w:val="0"/>
        <w:widowControl w:val="0"/>
        <w:numPr>
          <w:ilvl w:val="0"/>
          <w:numId w:val="0"/>
        </w:numPr>
        <w:kinsoku/>
        <w:overflowPunct/>
        <w:topLinePunct w:val="0"/>
        <w:autoSpaceDN/>
        <w:bidi w:val="0"/>
        <w:adjustRightInd/>
        <w:snapToGrid/>
        <w:spacing w:line="600" w:lineRule="atLeast"/>
        <w:ind w:leftChars="200"/>
        <w:jc w:val="left"/>
        <w:textAlignment w:val="auto"/>
        <w:rPr>
          <w:rFonts w:hint="eastAsia" w:ascii="方正公文黑体" w:hAnsi="方正公文黑体" w:eastAsia="方正公文黑体" w:cs="方正公文黑体"/>
          <w:b/>
          <w:color w:val="000000"/>
          <w:sz w:val="32"/>
          <w:szCs w:val="32"/>
        </w:rPr>
      </w:pPr>
      <w:r>
        <w:rPr>
          <w:rFonts w:hint="eastAsia" w:ascii="方正公文黑体" w:hAnsi="方正公文黑体" w:eastAsia="方正公文黑体" w:cs="方正公文黑体"/>
          <w:b/>
          <w:color w:val="000000"/>
          <w:sz w:val="32"/>
          <w:szCs w:val="32"/>
          <w:lang w:val="en-US" w:eastAsia="zh-CN"/>
        </w:rPr>
        <w:t>六、</w:t>
      </w:r>
      <w:r>
        <w:rPr>
          <w:rFonts w:hint="eastAsia" w:ascii="方正公文黑体" w:hAnsi="方正公文黑体" w:eastAsia="方正公文黑体" w:cs="方正公文黑体"/>
          <w:b/>
          <w:color w:val="000000"/>
          <w:sz w:val="32"/>
          <w:szCs w:val="32"/>
        </w:rPr>
        <w:t>绩效自评结果拟应用和公开情况</w:t>
      </w:r>
    </w:p>
    <w:p>
      <w:pPr>
        <w:pStyle w:val="17"/>
        <w:keepNext w:val="0"/>
        <w:keepLines w:val="0"/>
        <w:pageBreakBefore w:val="0"/>
        <w:widowControl w:val="0"/>
        <w:kinsoku/>
        <w:overflowPunct/>
        <w:topLinePunct w:val="0"/>
        <w:autoSpaceDN/>
        <w:bidi w:val="0"/>
        <w:adjustRightInd/>
        <w:snapToGrid/>
        <w:spacing w:line="600" w:lineRule="atLeas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（一）对巩固拓展脱贫攻坚成果同乡村振兴衔接资金项目、绩效公告公示情况</w:t>
      </w:r>
    </w:p>
    <w:p>
      <w:pPr>
        <w:pStyle w:val="17"/>
        <w:keepNext w:val="0"/>
        <w:keepLines w:val="0"/>
        <w:pageBreakBefore w:val="0"/>
        <w:widowControl w:val="0"/>
        <w:kinsoku/>
        <w:overflowPunct/>
        <w:topLinePunct w:val="0"/>
        <w:autoSpaceDN/>
        <w:bidi w:val="0"/>
        <w:adjustRightInd/>
        <w:snapToGrid/>
        <w:spacing w:line="600" w:lineRule="atLeas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按照《国务院办公厅关于印发2022年政务公开工作要点的通知》（国办发【2022】8号）、《新疆维吾尔自治区财政衔接推进乡村振兴补助资金管理办法》（新财规【2021】11号）文件要求：由叶城县财政局乡村振兴股核对本项目资金及建设内容、由叶城县财政局绩效评价中心于2023年3月20日对项目绩效目标在叶城县人民政府网（http://www.xjyc.gov.cn/ycx/c107308/zwgk.shtml）进行公开，项目实施前在乡村两级进行了张榜公开，接受社会监督。</w:t>
      </w:r>
    </w:p>
    <w:p>
      <w:pPr>
        <w:pStyle w:val="17"/>
        <w:keepNext w:val="0"/>
        <w:keepLines w:val="0"/>
        <w:pageBreakBefore w:val="0"/>
        <w:widowControl w:val="0"/>
        <w:kinsoku/>
        <w:overflowPunct/>
        <w:topLinePunct w:val="0"/>
        <w:autoSpaceDN/>
        <w:bidi w:val="0"/>
        <w:adjustRightInd/>
        <w:snapToGrid/>
        <w:spacing w:line="600" w:lineRule="atLeas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（二）对绩效自评结果拟应用情况进行说明</w:t>
      </w:r>
    </w:p>
    <w:p>
      <w:pPr>
        <w:pStyle w:val="17"/>
        <w:keepNext w:val="0"/>
        <w:keepLines w:val="0"/>
        <w:pageBreakBefore w:val="0"/>
        <w:widowControl w:val="0"/>
        <w:kinsoku/>
        <w:overflowPunct/>
        <w:topLinePunct w:val="0"/>
        <w:autoSpaceDN/>
        <w:bidi w:val="0"/>
        <w:adjustRightInd/>
        <w:snapToGrid/>
        <w:spacing w:line="600" w:lineRule="atLeas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7"/>
        <w:keepNext w:val="0"/>
        <w:keepLines w:val="0"/>
        <w:pageBreakBefore w:val="0"/>
        <w:widowControl w:val="0"/>
        <w:kinsoku/>
        <w:overflowPunct/>
        <w:topLinePunct w:val="0"/>
        <w:autoSpaceDN/>
        <w:bidi w:val="0"/>
        <w:adjustRightInd/>
        <w:snapToGrid/>
        <w:spacing w:line="600" w:lineRule="atLeas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7"/>
        <w:keepNext w:val="0"/>
        <w:keepLines w:val="0"/>
        <w:pageBreakBefore w:val="0"/>
        <w:widowControl w:val="0"/>
        <w:kinsoku/>
        <w:overflowPunct/>
        <w:topLinePunct w:val="0"/>
        <w:autoSpaceDN/>
        <w:bidi w:val="0"/>
        <w:adjustRightInd/>
        <w:snapToGrid/>
        <w:spacing w:line="600" w:lineRule="atLeas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7"/>
        <w:keepNext w:val="0"/>
        <w:keepLines w:val="0"/>
        <w:pageBreakBefore w:val="0"/>
        <w:widowControl w:val="0"/>
        <w:kinsoku/>
        <w:overflowPunct/>
        <w:topLinePunct w:val="0"/>
        <w:autoSpaceDN/>
        <w:bidi w:val="0"/>
        <w:adjustRightInd/>
        <w:snapToGrid/>
        <w:spacing w:line="600" w:lineRule="atLeas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（三）对二级指标权重(分值)分配情况进行说明，赋权的方法或者原则</w:t>
      </w:r>
    </w:p>
    <w:p>
      <w:pPr>
        <w:pStyle w:val="17"/>
        <w:keepNext w:val="0"/>
        <w:keepLines w:val="0"/>
        <w:pageBreakBefore w:val="0"/>
        <w:widowControl w:val="0"/>
        <w:kinsoku/>
        <w:overflowPunct/>
        <w:topLinePunct w:val="0"/>
        <w:autoSpaceDN/>
        <w:bidi w:val="0"/>
        <w:adjustRightInd/>
        <w:snapToGrid/>
        <w:spacing w:line="600" w:lineRule="atLeas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numPr>
          <w:ilvl w:val="0"/>
          <w:numId w:val="2"/>
        </w:numPr>
        <w:ind w:firstLine="624" w:firstLineChars="200"/>
        <w:rPr>
          <w:rFonts w:hint="eastAsia" w:ascii="方正公文黑体" w:hAnsi="方正公文黑体" w:eastAsia="方正公文黑体" w:cs="方正公文黑体"/>
          <w:b w:val="0"/>
          <w:bCs/>
          <w:spacing w:val="-4"/>
          <w:sz w:val="32"/>
          <w:szCs w:val="32"/>
        </w:rPr>
      </w:pPr>
      <w:r>
        <w:rPr>
          <w:rFonts w:hint="eastAsia" w:ascii="方正公文黑体" w:hAnsi="方正公文黑体" w:eastAsia="方正公文黑体" w:cs="方正公文黑体"/>
          <w:b w:val="0"/>
          <w:bCs/>
          <w:spacing w:val="-4"/>
          <w:sz w:val="32"/>
          <w:szCs w:val="32"/>
        </w:rPr>
        <w:t>绩效评价工作有关说明</w:t>
      </w:r>
    </w:p>
    <w:p>
      <w:pPr>
        <w:numPr>
          <w:ilvl w:val="0"/>
          <w:numId w:val="0"/>
        </w:num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单位成立了项目绩效评价工作小组，项目组长为</w:t>
      </w:r>
      <w:r>
        <w:rPr>
          <w:rFonts w:hint="eastAsia" w:ascii="方正仿宋_GBK" w:hAnsi="方正仿宋_GBK" w:eastAsia="方正仿宋_GBK" w:cs="方正仿宋_GBK"/>
          <w:sz w:val="32"/>
          <w:szCs w:val="32"/>
          <w:lang w:val="en-US" w:eastAsia="zh-CN"/>
        </w:rPr>
        <w:t>赵吉福</w:t>
      </w:r>
      <w:r>
        <w:rPr>
          <w:rFonts w:hint="eastAsia" w:ascii="方正仿宋_GBK" w:hAnsi="方正仿宋_GBK" w:eastAsia="方正仿宋_GBK" w:cs="方正仿宋_GBK"/>
          <w:sz w:val="32"/>
          <w:szCs w:val="32"/>
        </w:rPr>
        <w:t>，主要负责制定项目评价方案。项目成员为</w:t>
      </w:r>
      <w:r>
        <w:rPr>
          <w:rFonts w:hint="eastAsia" w:ascii="方正仿宋_GBK" w:hAnsi="方正仿宋_GBK" w:eastAsia="方正仿宋_GBK" w:cs="方正仿宋_GBK"/>
          <w:sz w:val="32"/>
          <w:szCs w:val="32"/>
          <w:lang w:val="en-US" w:eastAsia="zh-CN"/>
        </w:rPr>
        <w:t>陈春娥、曾雯</w:t>
      </w:r>
      <w:r>
        <w:rPr>
          <w:rFonts w:hint="eastAsia" w:ascii="方正仿宋_GBK" w:hAnsi="方正仿宋_GBK" w:eastAsia="方正仿宋_GBK" w:cs="方正仿宋_GBK"/>
          <w:sz w:val="32"/>
          <w:szCs w:val="32"/>
        </w:rPr>
        <w:t>，主要负责收集核查项目资料、现场实地调查资料、绩效的监控情况资料、最终形成自评报告的初稿。</w:t>
      </w:r>
    </w:p>
    <w:p>
      <w:pPr>
        <w:pStyle w:val="17"/>
        <w:keepNext w:val="0"/>
        <w:keepLines w:val="0"/>
        <w:pageBreakBefore w:val="0"/>
        <w:widowControl w:val="0"/>
        <w:kinsoku/>
        <w:overflowPunct/>
        <w:topLinePunct w:val="0"/>
        <w:autoSpaceDN/>
        <w:bidi w:val="0"/>
        <w:adjustRightInd/>
        <w:snapToGrid/>
        <w:spacing w:line="600" w:lineRule="atLeast"/>
        <w:ind w:firstLine="640"/>
        <w:textAlignment w:val="auto"/>
        <w:rPr>
          <w:rFonts w:hint="eastAsia" w:ascii="方正仿宋_GBK" w:hAnsi="方正仿宋_GBK" w:eastAsia="方正仿宋_GBK" w:cs="方正仿宋_GBK"/>
          <w:color w:val="000000"/>
          <w:kern w:val="2"/>
          <w:sz w:val="32"/>
          <w:szCs w:val="32"/>
          <w:lang w:val="en-US" w:eastAsia="zh-CN" w:bidi="ar-SA"/>
        </w:rPr>
      </w:pPr>
    </w:p>
    <w:p>
      <w:pPr>
        <w:pStyle w:val="4"/>
        <w:keepNext w:val="0"/>
        <w:keepLines w:val="0"/>
        <w:pageBreakBefore w:val="0"/>
        <w:widowControl w:val="0"/>
        <w:numPr>
          <w:ilvl w:val="0"/>
          <w:numId w:val="0"/>
        </w:numPr>
        <w:kinsoku/>
        <w:overflowPunct/>
        <w:topLinePunct w:val="0"/>
        <w:autoSpaceDN/>
        <w:bidi w:val="0"/>
        <w:adjustRightInd/>
        <w:snapToGrid/>
        <w:spacing w:line="600" w:lineRule="atLeast"/>
        <w:ind w:leftChars="200"/>
        <w:textAlignment w:val="auto"/>
        <w:rPr>
          <w:rFonts w:hint="eastAsia" w:ascii="方正仿宋_GBK" w:hAnsi="方正仿宋_GBK" w:eastAsia="方正仿宋_GBK" w:cs="方正仿宋_GBK"/>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 w:name="方正仿宋_GB2312">
    <w:altName w:val="仿宋"/>
    <w:panose1 w:val="02000000000000000000"/>
    <w:charset w:val="86"/>
    <w:family w:val="auto"/>
    <w:pitch w:val="default"/>
    <w:sig w:usb0="00000000" w:usb1="00000000" w:usb2="00000012" w:usb3="00000000" w:csb0="00040001" w:csb1="00000000"/>
    <w:embedRegular r:id="rId1" w:fontKey="{7A583547-469D-4A33-A484-706455260691}"/>
  </w:font>
  <w:font w:name="方正小标宋_GBK">
    <w:panose1 w:val="03000509000000000000"/>
    <w:charset w:val="86"/>
    <w:family w:val="auto"/>
    <w:pitch w:val="default"/>
    <w:sig w:usb0="00000001" w:usb1="080E0000" w:usb2="00000000" w:usb3="00000000" w:csb0="00040000" w:csb1="00000000"/>
    <w:embedRegular r:id="rId2" w:fontKey="{92F6F79B-5DC6-477E-8413-BC43D09D5179}"/>
  </w:font>
  <w:font w:name="方正公文黑体">
    <w:panose1 w:val="02000500000000000000"/>
    <w:charset w:val="86"/>
    <w:family w:val="auto"/>
    <w:pitch w:val="default"/>
    <w:sig w:usb0="00000000" w:usb1="00000000" w:usb2="00000000" w:usb3="00000000" w:csb0="00000000" w:csb1="00000000"/>
    <w:embedRegular r:id="rId3" w:fontKey="{7F505D8A-D9C6-47E7-B5B2-E2CB211581FC}"/>
  </w:font>
  <w:font w:name="方正楷体_GBK">
    <w:panose1 w:val="02000000000000000000"/>
    <w:charset w:val="86"/>
    <w:family w:val="auto"/>
    <w:pitch w:val="default"/>
    <w:sig w:usb0="00000000" w:usb1="00000000" w:usb2="00000000" w:usb3="00000000" w:csb0="00000000" w:csb1="00000000"/>
    <w:embedRegular r:id="rId4" w:fontKey="{F4EB10C0-9F04-4B2E-98E7-2D85D4371CF4}"/>
  </w:font>
  <w:font w:name="方正仿宋_GBK">
    <w:panose1 w:val="03000509000000000000"/>
    <w:charset w:val="86"/>
    <w:family w:val="auto"/>
    <w:pitch w:val="default"/>
    <w:sig w:usb0="00000001" w:usb1="080E0000" w:usb2="00000000" w:usb3="00000000" w:csb0="00040000" w:csb1="00000000"/>
    <w:embedRegular r:id="rId5" w:fontKey="{6ADF19E2-5A91-4B2E-ACBE-F3BD7407B109}"/>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90F69C"/>
    <w:multiLevelType w:val="singleLevel"/>
    <w:tmpl w:val="8D90F69C"/>
    <w:lvl w:ilvl="0" w:tentative="0">
      <w:start w:val="3"/>
      <w:numFmt w:val="decimal"/>
      <w:suff w:val="nothing"/>
      <w:lvlText w:val="（%1）"/>
      <w:lvlJc w:val="left"/>
    </w:lvl>
  </w:abstractNum>
  <w:abstractNum w:abstractNumId="1">
    <w:nsid w:val="91E381D3"/>
    <w:multiLevelType w:val="singleLevel"/>
    <w:tmpl w:val="91E381D3"/>
    <w:lvl w:ilvl="0" w:tentative="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mMzUwZGFlYzVlOTE3ZTA4ZjgxYzMyMzhkNzZkYWYifQ=="/>
  </w:docVars>
  <w:rsids>
    <w:rsidRoot w:val="00F20A26"/>
    <w:rsid w:val="003E0379"/>
    <w:rsid w:val="0055176E"/>
    <w:rsid w:val="00F20A26"/>
    <w:rsid w:val="00F31228"/>
    <w:rsid w:val="01813D87"/>
    <w:rsid w:val="02712368"/>
    <w:rsid w:val="059A592B"/>
    <w:rsid w:val="062934DA"/>
    <w:rsid w:val="07D56CE9"/>
    <w:rsid w:val="08EC01DC"/>
    <w:rsid w:val="10EE52C0"/>
    <w:rsid w:val="129064AA"/>
    <w:rsid w:val="12A245A9"/>
    <w:rsid w:val="13E508C3"/>
    <w:rsid w:val="14653122"/>
    <w:rsid w:val="15185CA7"/>
    <w:rsid w:val="15C10B6C"/>
    <w:rsid w:val="15D70664"/>
    <w:rsid w:val="167F67F2"/>
    <w:rsid w:val="17DB2032"/>
    <w:rsid w:val="17F82735"/>
    <w:rsid w:val="187A025D"/>
    <w:rsid w:val="188F2DDB"/>
    <w:rsid w:val="1937751C"/>
    <w:rsid w:val="19797DA8"/>
    <w:rsid w:val="1ABF7AF2"/>
    <w:rsid w:val="1B044CCF"/>
    <w:rsid w:val="1B4D6D35"/>
    <w:rsid w:val="20183F4F"/>
    <w:rsid w:val="206E2B05"/>
    <w:rsid w:val="21965BA3"/>
    <w:rsid w:val="22084AEF"/>
    <w:rsid w:val="22E936F1"/>
    <w:rsid w:val="23BF146E"/>
    <w:rsid w:val="2583416F"/>
    <w:rsid w:val="27ED6BF9"/>
    <w:rsid w:val="29EC0C5C"/>
    <w:rsid w:val="2B1E4C6A"/>
    <w:rsid w:val="2D023036"/>
    <w:rsid w:val="2D5F13D7"/>
    <w:rsid w:val="2E51749D"/>
    <w:rsid w:val="2ED410E1"/>
    <w:rsid w:val="31A02A0C"/>
    <w:rsid w:val="31AE0AA6"/>
    <w:rsid w:val="34F605D4"/>
    <w:rsid w:val="3704484F"/>
    <w:rsid w:val="38550CF9"/>
    <w:rsid w:val="386D751C"/>
    <w:rsid w:val="3A667D78"/>
    <w:rsid w:val="3AED7D66"/>
    <w:rsid w:val="3D0A76AF"/>
    <w:rsid w:val="3E367EAB"/>
    <w:rsid w:val="40903AFC"/>
    <w:rsid w:val="41871287"/>
    <w:rsid w:val="44670597"/>
    <w:rsid w:val="462F0B1D"/>
    <w:rsid w:val="46A81B0D"/>
    <w:rsid w:val="47207E1C"/>
    <w:rsid w:val="4B1C1CAE"/>
    <w:rsid w:val="4BA819CC"/>
    <w:rsid w:val="4F8F1E96"/>
    <w:rsid w:val="54575230"/>
    <w:rsid w:val="54E20875"/>
    <w:rsid w:val="55DA66E7"/>
    <w:rsid w:val="55DF58B9"/>
    <w:rsid w:val="5940341E"/>
    <w:rsid w:val="5A6F5B06"/>
    <w:rsid w:val="5CEF0BA5"/>
    <w:rsid w:val="60172EAC"/>
    <w:rsid w:val="614F4951"/>
    <w:rsid w:val="628601C9"/>
    <w:rsid w:val="647906B5"/>
    <w:rsid w:val="651A36AB"/>
    <w:rsid w:val="656948FD"/>
    <w:rsid w:val="66405B81"/>
    <w:rsid w:val="677E01D8"/>
    <w:rsid w:val="692D4EA0"/>
    <w:rsid w:val="6AC53C59"/>
    <w:rsid w:val="6D0F2BFA"/>
    <w:rsid w:val="6F6D49E6"/>
    <w:rsid w:val="70FB0C71"/>
    <w:rsid w:val="71A83BF0"/>
    <w:rsid w:val="77F7179A"/>
    <w:rsid w:val="7B580975"/>
    <w:rsid w:val="7E984E50"/>
    <w:rsid w:val="7ED83E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2">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7">
    <w:name w:val="annotation text"/>
    <w:basedOn w:val="1"/>
    <w:unhideWhenUsed/>
    <w:qFormat/>
    <w:uiPriority w:val="99"/>
    <w:rPr>
      <w:rFonts w:cs="Times New Roman"/>
      <w:kern w:val="0"/>
      <w:sz w:val="20"/>
      <w:szCs w:val="20"/>
    </w:rPr>
  </w:style>
  <w:style w:type="paragraph" w:styleId="8">
    <w:name w:val="Body Text"/>
    <w:basedOn w:val="1"/>
    <w:qFormat/>
    <w:uiPriority w:val="0"/>
    <w:pPr>
      <w:spacing w:before="240" w:after="240" w:line="360" w:lineRule="auto"/>
      <w:jc w:val="center"/>
    </w:pPr>
    <w:rPr>
      <w:b/>
      <w:sz w:val="44"/>
    </w:rPr>
  </w:style>
  <w:style w:type="paragraph" w:styleId="9">
    <w:name w:val="Plain Text"/>
    <w:basedOn w:val="1"/>
    <w:semiHidden/>
    <w:unhideWhenUsed/>
    <w:qFormat/>
    <w:uiPriority w:val="99"/>
    <w:rPr>
      <w:rFonts w:ascii="宋体" w:hAnsi="Courier New"/>
    </w:rPr>
  </w:style>
  <w:style w:type="paragraph" w:styleId="10">
    <w:name w:val="Body Text Indent 2"/>
    <w:basedOn w:val="1"/>
    <w:qFormat/>
    <w:uiPriority w:val="0"/>
    <w:pPr>
      <w:ind w:firstLine="280"/>
    </w:pPr>
    <w:rPr>
      <w:rFonts w:ascii="仿宋_GB2312" w:hAnsi="仿宋_GB2312" w:eastAsia="仿宋_GB2312"/>
      <w:kern w:val="1"/>
      <w:sz w:val="28"/>
    </w:rPr>
  </w:style>
  <w:style w:type="paragraph" w:styleId="11">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2">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5">
    <w:name w:val="Strong"/>
    <w:basedOn w:val="14"/>
    <w:qFormat/>
    <w:uiPriority w:val="0"/>
    <w:rPr>
      <w:b/>
      <w:bCs/>
    </w:rPr>
  </w:style>
  <w:style w:type="paragraph" w:customStyle="1" w:styleId="16">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7">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8">
    <w:name w:val="闻政-正文二级标题"/>
    <w:basedOn w:val="6"/>
    <w:next w:val="17"/>
    <w:qFormat/>
    <w:uiPriority w:val="3"/>
    <w:pPr>
      <w:spacing w:before="120" w:after="60" w:line="500" w:lineRule="exact"/>
      <w:ind w:left="200" w:leftChars="200" w:firstLine="0" w:firstLineChars="0"/>
    </w:pPr>
    <w:rPr>
      <w:rFonts w:ascii="Times New Roman" w:hAnsi="Times New Roman"/>
      <w:sz w:val="28"/>
    </w:rPr>
  </w:style>
  <w:style w:type="paragraph" w:customStyle="1" w:styleId="19">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3856</Words>
  <Characters>4086</Characters>
  <Lines>2</Lines>
  <Paragraphs>1</Paragraphs>
  <TotalTime>5</TotalTime>
  <ScaleCrop>false</ScaleCrop>
  <LinksUpToDate>false</LinksUpToDate>
  <CharactersWithSpaces>4145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2019-10-08T05:02:00Z</dcterms:created>
  <dc:creator>姜波</dc:creator>
  <cp:lastModifiedBy>Administrator</cp:lastModifiedBy>
  <dcterms:modified xsi:type="dcterms:W3CDTF">2025-02-08T05:25:38Z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710C28CDA1CF449A9BCF5FD0DE5A0706</vt:lpwstr>
  </property>
</Properties>
</file>