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_GBK" w:hAnsi="方正小标宋_GBK" w:eastAsia="方正小标宋_GBK" w:cs="方正小标宋_GBK"/>
          <w:b/>
          <w:color w:val="auto"/>
          <w:kern w:val="0"/>
          <w:sz w:val="44"/>
          <w:szCs w:val="44"/>
          <w:highlight w:val="none"/>
          <w:lang w:bidi="en-US"/>
        </w:rPr>
      </w:pPr>
      <w:r>
        <w:rPr>
          <w:rFonts w:hint="eastAsia" w:ascii="方正小标宋_GBK" w:hAnsi="方正小标宋_GBK" w:eastAsia="方正小标宋_GBK" w:cs="方正小标宋_GBK"/>
          <w:b/>
          <w:color w:val="auto"/>
          <w:kern w:val="0"/>
          <w:sz w:val="44"/>
          <w:szCs w:val="44"/>
          <w:highlight w:val="none"/>
          <w:lang w:val="en-US" w:eastAsia="zh-CN" w:bidi="en-US"/>
        </w:rPr>
        <w:t>叶城县棋盘乡2023</w:t>
      </w:r>
      <w:r>
        <w:rPr>
          <w:rFonts w:hint="eastAsia" w:ascii="方正小标宋_GBK" w:hAnsi="方正小标宋_GBK" w:eastAsia="方正小标宋_GBK" w:cs="方正小标宋_GBK"/>
          <w:b/>
          <w:color w:val="auto"/>
          <w:kern w:val="0"/>
          <w:sz w:val="44"/>
          <w:szCs w:val="44"/>
          <w:highlight w:val="none"/>
          <w:lang w:bidi="en-US"/>
        </w:rPr>
        <w:t>年财政专项</w:t>
      </w:r>
      <w:r>
        <w:rPr>
          <w:rFonts w:hint="eastAsia" w:ascii="方正小标宋_GBK" w:hAnsi="方正小标宋_GBK" w:eastAsia="方正小标宋_GBK" w:cs="方正小标宋_GBK"/>
          <w:b/>
          <w:color w:val="auto"/>
          <w:kern w:val="0"/>
          <w:sz w:val="44"/>
          <w:szCs w:val="44"/>
          <w:highlight w:val="none"/>
          <w:lang w:eastAsia="zh-CN" w:bidi="en-US"/>
        </w:rPr>
        <w:t>乡村振兴</w:t>
      </w:r>
      <w:r>
        <w:rPr>
          <w:rFonts w:hint="eastAsia" w:ascii="方正小标宋_GBK" w:hAnsi="方正小标宋_GBK" w:eastAsia="方正小标宋_GBK" w:cs="方正小标宋_GBK"/>
          <w:b/>
          <w:color w:val="auto"/>
          <w:kern w:val="0"/>
          <w:sz w:val="44"/>
          <w:szCs w:val="44"/>
          <w:highlight w:val="none"/>
          <w:lang w:bidi="en-US"/>
        </w:rPr>
        <w:t>资金绩效自评总结报告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2"/>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000000"/>
          <w:kern w:val="2"/>
          <w:sz w:val="32"/>
          <w:szCs w:val="32"/>
          <w:lang w:val="en-US" w:eastAsia="zh-CN" w:bidi="ar-SA"/>
        </w:rPr>
      </w:pPr>
    </w:p>
    <w:p>
      <w:pPr>
        <w:spacing w:line="700" w:lineRule="exact"/>
        <w:ind w:left="640" w:hanging="640" w:hanging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仿宋_GB2312" w:hAnsi="黑体" w:eastAsia="仿宋_GB2312" w:cstheme="minorBidi"/>
          <w:color w:val="000000"/>
          <w:kern w:val="2"/>
          <w:sz w:val="32"/>
          <w:szCs w:val="32"/>
          <w:lang w:val="en-US" w:eastAsia="zh-CN" w:bidi="ar-SA"/>
        </w:rPr>
        <w:t xml:space="preserve">   </w:t>
      </w:r>
      <w:r>
        <w:rPr>
          <w:rFonts w:hint="eastAsia" w:ascii="方正楷体_GBK" w:hAnsi="方正楷体_GBK" w:eastAsia="方正楷体_GBK" w:cs="方正楷体_GBK"/>
          <w:color w:val="000000"/>
          <w:kern w:val="2"/>
          <w:sz w:val="32"/>
          <w:szCs w:val="32"/>
          <w:lang w:val="en-US" w:eastAsia="zh-CN" w:bidi="ar-SA"/>
        </w:rPr>
        <w:t xml:space="preserve"> 项目名称： 叶城县棋盘乡农机合作社设备配套项目    实施单位：叶城县棋盘乡人民政府</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主管部门：叶城县自然资源局</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项目负责人：李业斌</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填报时间： 2024年1月1日</w:t>
      </w: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jc w:val="left"/>
        <w:rPr>
          <w:rFonts w:hint="eastAsia" w:ascii="黑体" w:hAnsi="黑体" w:eastAsia="黑体"/>
          <w:color w:val="000000"/>
          <w:sz w:val="28"/>
          <w:szCs w:val="28"/>
        </w:rPr>
      </w:pPr>
    </w:p>
    <w:p>
      <w:pPr>
        <w:numPr>
          <w:ilvl w:val="0"/>
          <w:numId w:val="0"/>
        </w:numPr>
        <w:ind w:leftChars="0"/>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lang w:val="en-US" w:eastAsia="zh-CN"/>
        </w:rPr>
        <w:t>叶城县棋盘乡2023</w:t>
      </w:r>
      <w:r>
        <w:rPr>
          <w:rFonts w:hint="eastAsia" w:ascii="方正小标宋_GBK" w:hAnsi="方正小标宋_GBK" w:eastAsia="方正小标宋_GBK" w:cs="方正小标宋_GBK"/>
          <w:color w:val="000000"/>
          <w:sz w:val="44"/>
          <w:szCs w:val="44"/>
        </w:rPr>
        <w:t>年财政专项</w:t>
      </w:r>
      <w:r>
        <w:rPr>
          <w:rFonts w:hint="eastAsia" w:ascii="方正小标宋_GBK" w:hAnsi="方正小标宋_GBK" w:eastAsia="方正小标宋_GBK" w:cs="方正小标宋_GBK"/>
          <w:color w:val="000000"/>
          <w:sz w:val="44"/>
          <w:szCs w:val="44"/>
          <w:lang w:eastAsia="zh-CN"/>
        </w:rPr>
        <w:t>乡村振兴</w:t>
      </w:r>
      <w:r>
        <w:rPr>
          <w:rFonts w:hint="eastAsia" w:ascii="方正小标宋_GBK" w:hAnsi="方正小标宋_GBK" w:eastAsia="方正小标宋_GBK" w:cs="方正小标宋_GBK"/>
          <w:color w:val="000000"/>
          <w:sz w:val="44"/>
          <w:szCs w:val="44"/>
        </w:rPr>
        <w:t>资金绩效自评总结报告</w:t>
      </w:r>
    </w:p>
    <w:p>
      <w:pPr>
        <w:ind w:firstLine="640" w:firstLineChars="200"/>
        <w:jc w:val="left"/>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一、绩效目标分解下达情况</w:t>
      </w:r>
    </w:p>
    <w:p>
      <w:pPr>
        <w:ind w:firstLine="643" w:firstLineChars="200"/>
        <w:jc w:val="left"/>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b/>
          <w:bCs/>
          <w:color w:val="000000"/>
          <w:sz w:val="32"/>
          <w:szCs w:val="32"/>
        </w:rPr>
        <w:t>1.财政专项</w:t>
      </w:r>
      <w:r>
        <w:rPr>
          <w:rFonts w:hint="eastAsia" w:ascii="方正仿宋_GBK" w:hAnsi="方正仿宋_GBK" w:eastAsia="方正仿宋_GBK" w:cs="方正仿宋_GBK"/>
          <w:b/>
          <w:bCs/>
          <w:color w:val="000000"/>
          <w:sz w:val="32"/>
          <w:szCs w:val="32"/>
          <w:lang w:eastAsia="zh-CN"/>
        </w:rPr>
        <w:t>乡村振兴</w:t>
      </w:r>
      <w:r>
        <w:rPr>
          <w:rFonts w:hint="eastAsia" w:ascii="方正仿宋_GBK" w:hAnsi="方正仿宋_GBK" w:eastAsia="方正仿宋_GBK" w:cs="方正仿宋_GBK"/>
          <w:b/>
          <w:bCs/>
          <w:color w:val="000000"/>
          <w:sz w:val="32"/>
          <w:szCs w:val="32"/>
        </w:rPr>
        <w:t>资金下达预算及项目情况。</w:t>
      </w:r>
    </w:p>
    <w:p>
      <w:pPr>
        <w:ind w:firstLine="640" w:firstLineChars="200"/>
        <w:jc w:val="left"/>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根据《关于下达2023年自治区财政衔接推进乡村振兴补助资金预算的通知》（新财振〔2023〕18号），下达2023年自治区财政衔接推进乡村振兴补助资金，</w:t>
      </w:r>
      <w:r>
        <w:rPr>
          <w:rFonts w:hint="eastAsia" w:ascii="方正仿宋_GBK" w:hAnsi="方正仿宋_GBK" w:eastAsia="方正仿宋_GBK" w:cs="方正仿宋_GBK"/>
          <w:color w:val="000000"/>
          <w:kern w:val="2"/>
          <w:sz w:val="32"/>
          <w:szCs w:val="32"/>
          <w:lang w:val="en-US" w:eastAsia="zh-CN" w:bidi="ar-SA"/>
        </w:rPr>
        <w:t>叶城县棋盘乡农机合作社设备配套项目，项目总投资为79.48万元，解决困难群众就业；使当地的农户尽早看到提质增效所产生的经济效益，切实把棋盘乡农机合作产业做强做优，达到带动示范的目的，带动增加脱贫巩固户全年总收入达到4万元以上，促进经济社会全面协调可持续发展。</w:t>
      </w:r>
    </w:p>
    <w:p>
      <w:pPr>
        <w:numPr>
          <w:ilvl w:val="0"/>
          <w:numId w:val="1"/>
        </w:numPr>
        <w:ind w:firstLine="643" w:firstLineChars="200"/>
        <w:jc w:val="left"/>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财政专项</w:t>
      </w:r>
      <w:r>
        <w:rPr>
          <w:rFonts w:hint="eastAsia" w:ascii="方正仿宋_GBK" w:hAnsi="方正仿宋_GBK" w:eastAsia="方正仿宋_GBK" w:cs="方正仿宋_GBK"/>
          <w:b/>
          <w:bCs/>
          <w:color w:val="000000"/>
          <w:sz w:val="32"/>
          <w:szCs w:val="32"/>
          <w:lang w:eastAsia="zh-CN"/>
        </w:rPr>
        <w:t>乡村振兴</w:t>
      </w:r>
      <w:r>
        <w:rPr>
          <w:rFonts w:hint="eastAsia" w:ascii="方正仿宋_GBK" w:hAnsi="方正仿宋_GBK" w:eastAsia="方正仿宋_GBK" w:cs="方正仿宋_GBK"/>
          <w:b/>
          <w:bCs/>
          <w:color w:val="000000"/>
          <w:sz w:val="32"/>
          <w:szCs w:val="32"/>
        </w:rPr>
        <w:t>资金项目绩效目标设定情况。</w:t>
      </w:r>
    </w:p>
    <w:p>
      <w:pPr>
        <w:numPr>
          <w:ilvl w:val="0"/>
          <w:numId w:val="0"/>
        </w:numPr>
        <w:ind w:firstLine="640" w:firstLineChars="200"/>
        <w:jc w:val="left"/>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实施地质灾害防护设备配套，配套2台挖掘机（轮式1台：型号：4TNV94L-ZCWCLG、型式:水冷、四冲程、直列。链式1台：型号:LG675BM、发动机型号：4D32ZG31-025），用于紧急救灾，防洪、防震、防灾等</w:t>
      </w:r>
    </w:p>
    <w:p>
      <w:pPr>
        <w:ind w:firstLine="640" w:firstLineChars="200"/>
        <w:jc w:val="left"/>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二、绩效自评工作开展情况</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 绩效评价范围</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 绩效评价对象</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3.绩效评价时间</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val="0"/>
          <w:bCs w:val="0"/>
          <w:color w:val="auto"/>
          <w:kern w:val="2"/>
          <w:sz w:val="32"/>
          <w:szCs w:val="32"/>
          <w:lang w:val="en-US" w:eastAsia="zh-CN" w:bidi="ar-SA"/>
        </w:rPr>
      </w:pPr>
      <w:r>
        <w:rPr>
          <w:rFonts w:hint="eastAsia" w:ascii="方正仿宋_GBK" w:hAnsi="方正仿宋_GBK" w:eastAsia="方正仿宋_GBK" w:cs="方正仿宋_GBK"/>
          <w:b w:val="0"/>
          <w:bCs w:val="0"/>
          <w:color w:val="auto"/>
          <w:kern w:val="2"/>
          <w:sz w:val="32"/>
          <w:szCs w:val="32"/>
          <w:lang w:val="en-US" w:eastAsia="zh-CN" w:bidi="ar-SA"/>
        </w:rPr>
        <w:t>2024年1月1日-2024年1月30日</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4. 绩效评价方法</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5. 绩效评价标准</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0" w:name="_Toc31464"/>
      <w:bookmarkStart w:id="1" w:name="_Toc17882"/>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2" w:name="_Toc2318"/>
      <w:bookmarkStart w:id="3" w:name="_Toc5633"/>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4" w:name="_Toc430"/>
      <w:bookmarkStart w:id="5" w:name="_Toc16028"/>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ind w:firstLine="640" w:firstLineChars="200"/>
        <w:jc w:val="left"/>
        <w:rPr>
          <w:rFonts w:ascii="仿宋_GB2312" w:hAnsi="黑体" w:eastAsia="仿宋_GB2312"/>
          <w:b/>
          <w:color w:val="000000"/>
          <w:sz w:val="32"/>
          <w:szCs w:val="32"/>
        </w:rPr>
      </w:pPr>
      <w:r>
        <w:rPr>
          <w:rFonts w:hint="eastAsia" w:ascii="方正黑体_GBK" w:hAnsi="方正黑体_GBK" w:eastAsia="方正黑体_GBK" w:cs="方正黑体_GBK"/>
          <w:b w:val="0"/>
          <w:bCs/>
          <w:color w:val="000000"/>
          <w:sz w:val="32"/>
          <w:szCs w:val="32"/>
        </w:rPr>
        <w:t>三、绩效目标自评完成情况分析</w:t>
      </w:r>
    </w:p>
    <w:p>
      <w:pPr>
        <w:ind w:firstLine="643" w:firstLineChars="200"/>
        <w:jc w:val="left"/>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该项目下达资金79.48万元，到位资金79.48万元，为衔接资金，最终确定项目资金总数为79.48万元。</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截至2023年12月31日，到位资金79.48万元，实际支出79.48万元，预算执行率100%。</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ind w:firstLine="643" w:firstLineChars="200"/>
        <w:jc w:val="left"/>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（1）对于“产出数量”</w:t>
      </w:r>
      <w:bookmarkStart w:id="6" w:name="_GoBack"/>
      <w:bookmarkEnd w:id="6"/>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SA"/>
        </w:rPr>
        <w:t>地质灾害防护设备配套数量2台，与预期目标一致，指标标杆分值为8分，根据评分标准，该指标不扣分。得8分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项目（工程）验收合格率100%，与预期目标一致，指标标杆分值为9分,根据评分标准，该指标不扣分，得9分。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项目开工时间2023年5月，与预期目标指标不一致，指标标杆分值为9分,根据评分标准，该指标扣1分，得8分。 偏差原因：项目实施前期工作较缓慢，导致开工较晚；改进措施：加快项目实施进度。   </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项目完工时间2023年5月，比计划提前完工，指标标杆分值为8分,根据评分标准，该指标不扣分，8分。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项目完成及时率100%，与预期目标指标一致，指标标杆分值为8分,根据评分标准，该指标不扣分，8分。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合计得24分。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地质灾害防护设备配套成本39.74万元/台，与预期目标指标一致。指标标杆分值为8分，根据评分标准，该指标不扣分，得8分。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kern w:val="2"/>
          <w:sz w:val="32"/>
          <w:szCs w:val="32"/>
          <w:lang w:val="en-US" w:eastAsia="zh-CN" w:bidi="ar-SA"/>
        </w:rPr>
        <w:t>合计得分8分。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（1）对于“社会效益指标”：</w:t>
      </w:r>
    </w:p>
    <w:p>
      <w:pPr>
        <w:keepNext w:val="0"/>
        <w:keepLines w:val="0"/>
        <w:pageBreakBefore w:val="0"/>
        <w:widowControl w:val="0"/>
        <w:numPr>
          <w:ilvl w:val="0"/>
          <w:numId w:val="0"/>
        </w:numPr>
        <w:suppressLineNumbers w:val="0"/>
        <w:kinsoku/>
        <w:wordWrap w:val="0"/>
        <w:overflowPunct/>
        <w:topLinePunct w:val="0"/>
        <w:autoSpaceDE w:val="0"/>
        <w:autoSpaceDN/>
        <w:bidi w:val="0"/>
        <w:adjustRightInd/>
        <w:snapToGrid/>
        <w:spacing w:before="0" w:beforeAutospacing="0" w:after="0" w:afterAutospacing="0" w:line="560" w:lineRule="exact"/>
        <w:ind w:leftChars="200" w:right="0" w:rightChars="0" w:firstLine="320" w:firstLineChars="1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有效履行政府公共职责，执行救灾任务的效果，与预期指标一致，指标标杆分值为10分，根据评分标准，该指标不扣分，得10分。</w:t>
      </w:r>
    </w:p>
    <w:p>
      <w:pPr>
        <w:keepNext w:val="0"/>
        <w:keepLines w:val="0"/>
        <w:pageBreakBefore w:val="0"/>
        <w:widowControl w:val="0"/>
        <w:numPr>
          <w:ilvl w:val="0"/>
          <w:numId w:val="2"/>
        </w:numPr>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对于“经济效益指标”：</w:t>
      </w:r>
    </w:p>
    <w:p>
      <w:pPr>
        <w:keepNext w:val="0"/>
        <w:keepLines w:val="0"/>
        <w:pageBreakBefore w:val="0"/>
        <w:widowControl w:val="0"/>
        <w:numPr>
          <w:ilvl w:val="0"/>
          <w:numId w:val="0"/>
        </w:numPr>
        <w:suppressLineNumbers w:val="0"/>
        <w:kinsoku/>
        <w:wordWrap w:val="0"/>
        <w:overflowPunct/>
        <w:topLinePunct w:val="0"/>
        <w:autoSpaceDE w:val="0"/>
        <w:autoSpaceDN/>
        <w:bidi w:val="0"/>
        <w:adjustRightInd/>
        <w:snapToGrid/>
        <w:spacing w:before="0" w:beforeAutospacing="0" w:after="0" w:afterAutospacing="0" w:line="560" w:lineRule="exact"/>
        <w:ind w:leftChars="200" w:right="0" w:rightChars="0" w:firstLine="320" w:firstLineChars="1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设备利用率30%，与预期指标一致，指标标杆分值为10分，根据评分标准，该指标不扣分，得10分。</w:t>
      </w:r>
    </w:p>
    <w:p>
      <w:pPr>
        <w:pStyle w:val="4"/>
        <w:keepNext w:val="0"/>
        <w:keepLines w:val="0"/>
        <w:pageBreakBefore w:val="0"/>
        <w:widowControl w:val="0"/>
        <w:numPr>
          <w:ilvl w:val="0"/>
          <w:numId w:val="3"/>
        </w:numPr>
        <w:kinsoku/>
        <w:overflowPunct/>
        <w:topLinePunct w:val="0"/>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工程设计使用年限10年以上，与预期指标一致，指标标杆分值为10分，根据评分标准，该指标不扣分，得10分。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对于“满意度指标：受益巩固脱贫户满意度95%，与预期目标一致，根据评分标准，该指标不扣分,得10分。</w:t>
      </w:r>
    </w:p>
    <w:p>
      <w:pPr>
        <w:ind w:firstLine="640" w:firstLineChars="200"/>
        <w:jc w:val="left"/>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四、偏离绩效目标的原因和下一步改进措施</w:t>
      </w:r>
    </w:p>
    <w:p>
      <w:pPr>
        <w:pStyle w:val="8"/>
        <w:pageBreakBefore w:val="0"/>
        <w:kinsoku/>
        <w:wordWrap/>
        <w:topLinePunct w:val="0"/>
        <w:autoSpaceDE/>
        <w:autoSpaceDN/>
        <w:bidi w:val="0"/>
        <w:spacing w:line="560" w:lineRule="exact"/>
        <w:ind w:firstLine="640"/>
        <w:rPr>
          <w:rFonts w:hint="eastAsia" w:ascii="方正仿宋_GBK" w:hAnsi="方正仿宋_GBK" w:eastAsia="方正仿宋_GBK" w:cs="方正仿宋_GBK"/>
          <w:b/>
          <w:color w:val="000000"/>
          <w:sz w:val="32"/>
          <w:szCs w:val="32"/>
        </w:rPr>
      </w:pPr>
      <w:r>
        <w:rPr>
          <w:rFonts w:hint="eastAsia" w:ascii="方正仿宋_GBK" w:hAnsi="方正仿宋_GBK" w:eastAsia="方正仿宋_GBK" w:cs="方正仿宋_GBK"/>
          <w:color w:val="000000"/>
          <w:kern w:val="2"/>
          <w:sz w:val="32"/>
          <w:szCs w:val="32"/>
          <w:lang w:val="en-US" w:eastAsia="zh-CN" w:bidi="ar-SA"/>
        </w:rPr>
        <w:t>叶城县棋盘乡农机合作社设备配套项目项目预算资金79.48万元，到位资金79.48万元，实际支出资金</w:t>
      </w:r>
      <w:r>
        <w:rPr>
          <w:rFonts w:hint="eastAsia" w:ascii="方正仿宋_GBK" w:hAnsi="方正仿宋_GBK" w:eastAsia="方正仿宋_GBK" w:cs="方正仿宋_GBK"/>
          <w:sz w:val="32"/>
          <w:szCs w:val="32"/>
        </w:rPr>
        <w:t>79.48</w:t>
      </w:r>
      <w:r>
        <w:rPr>
          <w:rFonts w:hint="eastAsia" w:ascii="方正仿宋_GBK" w:hAnsi="方正仿宋_GBK" w:eastAsia="方正仿宋_GBK" w:cs="方正仿宋_GBK"/>
          <w:color w:val="000000"/>
          <w:kern w:val="2"/>
          <w:sz w:val="32"/>
          <w:szCs w:val="32"/>
          <w:lang w:val="en-US" w:eastAsia="zh-CN" w:bidi="ar-SA"/>
        </w:rPr>
        <w:t>万元，预算执行率为100%，项目绩效指标总体完成率为99%，偏差原因：项目实施前期工作较缓慢，导致开工较晚；改进措施：加快项目实施进度。</w:t>
      </w:r>
    </w:p>
    <w:p>
      <w:pPr>
        <w:numPr>
          <w:ilvl w:val="0"/>
          <w:numId w:val="4"/>
        </w:numPr>
        <w:ind w:firstLine="640" w:firstLineChars="200"/>
        <w:jc w:val="left"/>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绩效自评结果拟应用和公开情况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79.48分（含）—90分）；中（60分（含）—79.48分）；差（0分—60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棋盘乡农机合作社设备配套项目实施地质灾害防护设备配套，配套2台挖掘机（轮式1台：型号：4TNV94L-ZCWCLG、型式:水冷、四冲程、直列。链式1台：型号:LG675BM、发动机型号：4D32ZG31-025），用于紧急救灾，防洪、防震、防灾等。该项目最终评分99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lang w:val="en-US" w:eastAsia="zh-CN"/>
        </w:rPr>
        <w:t>六、</w:t>
      </w:r>
      <w:r>
        <w:rPr>
          <w:rFonts w:hint="eastAsia" w:ascii="方正黑体_GBK" w:hAnsi="方正黑体_GBK" w:eastAsia="方正黑体_GBK" w:cs="方正黑体_GBK"/>
          <w:b w:val="0"/>
          <w:bCs/>
          <w:color w:val="000000"/>
          <w:sz w:val="32"/>
          <w:szCs w:val="32"/>
        </w:rPr>
        <w:t>绩效自评结果拟应用和公开情况</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（一）对衔接推进乡村振兴补助资金项目、绩效公告公示情况</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w:t>
      </w:r>
      <w:r>
        <w:rPr>
          <w:rFonts w:hint="eastAsia" w:ascii="方正仿宋_GBK" w:hAnsi="方正仿宋_GBK" w:eastAsia="方正仿宋_GBK" w:cs="方正仿宋_GBK"/>
          <w:color w:val="auto"/>
          <w:kern w:val="2"/>
          <w:sz w:val="32"/>
          <w:szCs w:val="32"/>
          <w:lang w:val="en-US" w:eastAsia="zh-CN" w:bidi="ar-SA"/>
        </w:rPr>
        <w:t>由叶城县财政局乡村振兴股核对本项目资金及建设内容、由叶城县财政局绩效评价中心于2023年3月20日对项目绩效目标在叶城县人民政府网（http://www.xjyc.gov.cn/ycx/c107308/zwgk.shtml）进行公开，项目实施前在相关乡镇进行了张榜公开，接受社会监督。</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keepNext w:val="0"/>
        <w:keepLines w:val="0"/>
        <w:pageBreakBefore w:val="0"/>
        <w:overflowPunct/>
        <w:topLinePunct w:val="0"/>
        <w:autoSpaceDE/>
        <w:autoSpaceDN/>
        <w:bidi w:val="0"/>
        <w:adjustRightInd/>
        <w:snapToGrid/>
        <w:spacing w:line="600" w:lineRule="exact"/>
        <w:ind w:firstLine="624" w:firstLineChars="200"/>
        <w:textAlignment w:val="auto"/>
        <w:rPr>
          <w:rStyle w:val="7"/>
          <w:rFonts w:hint="eastAsia" w:ascii="方正黑体_GBK" w:hAnsi="方正黑体_GBK" w:eastAsia="方正黑体_GBK" w:cs="方正黑体_GBK"/>
          <w:b w:val="0"/>
          <w:spacing w:val="-4"/>
          <w:sz w:val="32"/>
          <w:szCs w:val="32"/>
        </w:rPr>
      </w:pPr>
      <w:r>
        <w:rPr>
          <w:rStyle w:val="7"/>
          <w:rFonts w:hint="eastAsia" w:ascii="方正黑体_GBK" w:hAnsi="方正黑体_GBK" w:eastAsia="方正黑体_GBK" w:cs="方正黑体_GBK"/>
          <w:b w:val="0"/>
          <w:spacing w:val="-4"/>
          <w:sz w:val="32"/>
          <w:szCs w:val="32"/>
        </w:rPr>
        <w:t>七、绩效评价工作有关说明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单位成立了项目绩效评价工作小组，项目组长为李业斌，主要负责制定项目评价方案。项目成员为布合丽切木，主要负责收集核查项目资料、现场实地调查资料、绩效的监控情况资料、最终形成自评报告的初稿。</w:t>
      </w:r>
    </w:p>
    <w:p>
      <w:pPr>
        <w:numPr>
          <w:ilvl w:val="0"/>
          <w:numId w:val="0"/>
        </w:numPr>
        <w:jc w:val="left"/>
        <w:rPr>
          <w:rFonts w:hint="eastAsia" w:ascii="仿宋_GB2312" w:hAnsi="黑体" w:eastAsia="仿宋_GB2312"/>
          <w:b/>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F5D35EE-4471-45AC-9726-B91FAFC0CB4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4C32363-B285-4E05-8BD0-5526EF233A90}"/>
  </w:font>
  <w:font w:name="方正小标宋_GBK">
    <w:panose1 w:val="03000509000000000000"/>
    <w:charset w:val="86"/>
    <w:family w:val="auto"/>
    <w:pitch w:val="default"/>
    <w:sig w:usb0="00000001" w:usb1="080E0000" w:usb2="00000000" w:usb3="00000000" w:csb0="00040000" w:csb1="00000000"/>
    <w:embedRegular r:id="rId3" w:fontKey="{3CFEBECC-A1CF-4A19-974B-4690056B0E0A}"/>
  </w:font>
  <w:font w:name="方正仿宋_GBK">
    <w:panose1 w:val="03000509000000000000"/>
    <w:charset w:val="86"/>
    <w:family w:val="script"/>
    <w:pitch w:val="default"/>
    <w:sig w:usb0="00000001" w:usb1="080E0000" w:usb2="00000000" w:usb3="00000000" w:csb0="00040000" w:csb1="00000000"/>
    <w:embedRegular r:id="rId4" w:fontKey="{5B20D5EA-C18A-448F-91BE-CCE4CC34C373}"/>
  </w:font>
  <w:font w:name="仿宋_GB2312">
    <w:panose1 w:val="02010609030101010101"/>
    <w:charset w:val="86"/>
    <w:family w:val="modern"/>
    <w:pitch w:val="default"/>
    <w:sig w:usb0="00000001" w:usb1="080E0000" w:usb2="00000000" w:usb3="00000000" w:csb0="00040000" w:csb1="00000000"/>
    <w:embedRegular r:id="rId5" w:fontKey="{C0E1A42B-11B1-4FD9-9A5B-DA8218D46327}"/>
  </w:font>
  <w:font w:name="方正楷体_GBK">
    <w:panose1 w:val="02000000000000000000"/>
    <w:charset w:val="86"/>
    <w:family w:val="auto"/>
    <w:pitch w:val="default"/>
    <w:sig w:usb0="00000000" w:usb1="00000000" w:usb2="00000000" w:usb3="00000000" w:csb0="00000000" w:csb1="00000000"/>
    <w:embedRegular r:id="rId6" w:fontKey="{1B062B66-D8E6-46CE-97B8-338A2F0A0261}"/>
  </w:font>
  <w:font w:name="方正黑体_GBK">
    <w:altName w:val="微软雅黑"/>
    <w:panose1 w:val="02000000000000000000"/>
    <w:charset w:val="86"/>
    <w:family w:val="auto"/>
    <w:pitch w:val="default"/>
    <w:sig w:usb0="00000000" w:usb1="00000000" w:usb2="00000000" w:usb3="00000000" w:csb0="00040000" w:csb1="00000000"/>
    <w:embedRegular r:id="rId7" w:fontKey="{D7249D31-8C14-4002-A711-43F7F716D784}"/>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abstractNum w:abstractNumId="1">
    <w:nsid w:val="30AE0097"/>
    <w:multiLevelType w:val="singleLevel"/>
    <w:tmpl w:val="30AE0097"/>
    <w:lvl w:ilvl="0" w:tentative="0">
      <w:start w:val="5"/>
      <w:numFmt w:val="chineseCounting"/>
      <w:suff w:val="nothing"/>
      <w:lvlText w:val="%1、"/>
      <w:lvlJc w:val="left"/>
      <w:rPr>
        <w:rFonts w:hint="eastAsia"/>
      </w:rPr>
    </w:lvl>
  </w:abstractNum>
  <w:abstractNum w:abstractNumId="2">
    <w:nsid w:val="42418A3E"/>
    <w:multiLevelType w:val="singleLevel"/>
    <w:tmpl w:val="42418A3E"/>
    <w:lvl w:ilvl="0" w:tentative="0">
      <w:start w:val="2"/>
      <w:numFmt w:val="decimal"/>
      <w:suff w:val="nothing"/>
      <w:lvlText w:val="（%1）"/>
      <w:lvlJc w:val="left"/>
    </w:lvl>
  </w:abstractNum>
  <w:abstractNum w:abstractNumId="3">
    <w:nsid w:val="5173928A"/>
    <w:multiLevelType w:val="singleLevel"/>
    <w:tmpl w:val="5173928A"/>
    <w:lvl w:ilvl="0" w:tentative="0">
      <w:start w:val="2"/>
      <w:numFmt w:val="decimal"/>
      <w:lvlText w:val="%1."/>
      <w:lvlJc w:val="left"/>
      <w:pPr>
        <w:tabs>
          <w:tab w:val="left" w:pos="312"/>
        </w:tabs>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MzUwZGFlYzVlOTE3ZTA4ZjgxYzMyMzhkNzZkYWYifQ=="/>
  </w:docVars>
  <w:rsids>
    <w:rsidRoot w:val="00F20A26"/>
    <w:rsid w:val="003E0379"/>
    <w:rsid w:val="0055176E"/>
    <w:rsid w:val="00F20A26"/>
    <w:rsid w:val="03552FB6"/>
    <w:rsid w:val="04B54F0F"/>
    <w:rsid w:val="0A345B3B"/>
    <w:rsid w:val="102E5F7E"/>
    <w:rsid w:val="139311B9"/>
    <w:rsid w:val="1AAB0641"/>
    <w:rsid w:val="1ABD518E"/>
    <w:rsid w:val="1B63472B"/>
    <w:rsid w:val="1BAD59E0"/>
    <w:rsid w:val="1C91695C"/>
    <w:rsid w:val="1F9E5CE0"/>
    <w:rsid w:val="24BC3976"/>
    <w:rsid w:val="2671002E"/>
    <w:rsid w:val="2AEF03C9"/>
    <w:rsid w:val="2DB50644"/>
    <w:rsid w:val="2DFB0EDF"/>
    <w:rsid w:val="39885BD3"/>
    <w:rsid w:val="3E595856"/>
    <w:rsid w:val="427850ED"/>
    <w:rsid w:val="43727473"/>
    <w:rsid w:val="458D4109"/>
    <w:rsid w:val="47846F3E"/>
    <w:rsid w:val="484366A3"/>
    <w:rsid w:val="493243B1"/>
    <w:rsid w:val="4DCC69B2"/>
    <w:rsid w:val="549C5A0F"/>
    <w:rsid w:val="5AFD505F"/>
    <w:rsid w:val="5BE163D9"/>
    <w:rsid w:val="5F3461E9"/>
    <w:rsid w:val="61073757"/>
    <w:rsid w:val="62EC4BFB"/>
    <w:rsid w:val="69F70692"/>
    <w:rsid w:val="6A1A4025"/>
    <w:rsid w:val="6C097DD1"/>
    <w:rsid w:val="6D0722EA"/>
    <w:rsid w:val="71155816"/>
    <w:rsid w:val="755924F4"/>
    <w:rsid w:val="77BE04D4"/>
    <w:rsid w:val="7A4C5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unhideWhenUsed/>
    <w:qFormat/>
    <w:uiPriority w:val="99"/>
    <w:pPr>
      <w:spacing w:after="120"/>
      <w:ind w:left="420" w:leftChars="200"/>
    </w:pPr>
    <w:rPr>
      <w:rFonts w:cs="Times New Roman"/>
      <w:kern w:val="0"/>
      <w:szCs w:val="20"/>
    </w:rPr>
  </w:style>
  <w:style w:type="paragraph" w:styleId="4">
    <w:name w:val="Body Text First Indent 2"/>
    <w:basedOn w:val="3"/>
    <w:unhideWhenUsed/>
    <w:qFormat/>
    <w:uiPriority w:val="0"/>
    <w:pPr>
      <w:ind w:firstLine="420"/>
    </w:pPr>
  </w:style>
  <w:style w:type="character" w:styleId="7">
    <w:name w:val="Strong"/>
    <w:basedOn w:val="6"/>
    <w:qFormat/>
    <w:uiPriority w:val="0"/>
    <w:rPr>
      <w:b/>
      <w:bCs/>
    </w:rPr>
  </w:style>
  <w:style w:type="paragraph" w:customStyle="1" w:styleId="8">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3599</Words>
  <Characters>3872</Characters>
  <Lines>2</Lines>
  <Paragraphs>1</Paragraphs>
  <TotalTime>4</TotalTime>
  <ScaleCrop>false</ScaleCrop>
  <LinksUpToDate>false</LinksUpToDate>
  <CharactersWithSpaces>3932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2025-02-08T05:19:18Z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E9D22459BAA34D15837F2348073F6726_12</vt:lpwstr>
  </property>
</Properties>
</file>