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tabs>
          <w:tab w:val="left" w:pos="1680"/>
        </w:tabs>
        <w:kinsoku/>
        <w:wordWrap/>
        <w:overflowPunct/>
        <w:topLinePunct w:val="0"/>
        <w:autoSpaceDE/>
        <w:autoSpaceDN/>
        <w:bidi w:val="0"/>
        <w:spacing w:before="120" w:after="120" w:line="560" w:lineRule="exact"/>
        <w:jc w:val="center"/>
        <w:textAlignment w:val="auto"/>
        <w:outlineLvl w:val="0"/>
        <w:rPr>
          <w:rFonts w:hint="eastAsia" w:ascii="方正小标宋_GBK" w:hAnsi="方正小标宋_GBK" w:eastAsia="方正小标宋_GBK" w:cs="方正小标宋_GBK"/>
          <w:b/>
          <w:bCs/>
          <w:color w:val="000000"/>
          <w:sz w:val="44"/>
          <w:szCs w:val="44"/>
          <w:lang w:eastAsia="zh-CN"/>
        </w:rPr>
      </w:pPr>
      <w:r>
        <w:rPr>
          <w:rFonts w:hint="eastAsia" w:ascii="方正小标宋_GBK" w:hAnsi="方正小标宋_GBK" w:eastAsia="方正小标宋_GBK" w:cs="方正小标宋_GBK"/>
          <w:b/>
          <w:bCs/>
          <w:color w:val="000000"/>
          <w:sz w:val="44"/>
          <w:szCs w:val="44"/>
          <w:lang w:eastAsia="zh-CN"/>
        </w:rPr>
        <w:t>叶城县吐古其乡防渗渠建设项目</w:t>
      </w:r>
      <w:r>
        <w:rPr>
          <w:rFonts w:hint="eastAsia" w:ascii="方正小标宋_GBK" w:hAnsi="方正小标宋_GBK" w:eastAsia="方正小标宋_GBK" w:cs="方正小标宋_GBK"/>
          <w:b/>
          <w:bCs/>
          <w:color w:val="000000"/>
          <w:sz w:val="44"/>
          <w:szCs w:val="44"/>
          <w:lang w:val="en-US" w:eastAsia="zh-CN"/>
        </w:rPr>
        <w:t>项目</w:t>
      </w:r>
      <w:r>
        <w:rPr>
          <w:rFonts w:hint="eastAsia" w:ascii="方正小标宋_GBK" w:hAnsi="方正小标宋_GBK" w:eastAsia="方正小标宋_GBK" w:cs="方正小标宋_GBK"/>
          <w:b/>
          <w:bCs/>
          <w:color w:val="000000"/>
          <w:sz w:val="44"/>
          <w:szCs w:val="44"/>
          <w:lang w:eastAsia="zh-CN"/>
        </w:rPr>
        <w:t>支出自评总结报告</w:t>
      </w:r>
    </w:p>
    <w:p>
      <w:pPr>
        <w:pageBreakBefore w:val="0"/>
        <w:widowControl w:val="0"/>
        <w:kinsoku/>
        <w:wordWrap/>
        <w:overflowPunct/>
        <w:topLinePunct w:val="0"/>
        <w:autoSpaceDE/>
        <w:autoSpaceDN/>
        <w:bidi w:val="0"/>
        <w:spacing w:line="560" w:lineRule="exact"/>
        <w:ind w:firstLine="0" w:firstLineChars="0"/>
        <w:jc w:val="center"/>
        <w:textAlignment w:val="auto"/>
        <w:rPr>
          <w:rFonts w:hint="eastAsia" w:ascii="方正小标宋_GBK" w:hAnsi="方正小标宋_GBK" w:eastAsia="方正小标宋_GBK" w:cs="方正小标宋_GBK"/>
          <w:b/>
          <w:color w:val="auto"/>
          <w:kern w:val="0"/>
          <w:sz w:val="44"/>
          <w:szCs w:val="44"/>
          <w:highlight w:val="none"/>
          <w:lang w:bidi="en-US"/>
        </w:rPr>
      </w:pPr>
    </w:p>
    <w:p>
      <w:pPr>
        <w:pStyle w:val="6"/>
        <w:pageBreakBefore w:val="0"/>
        <w:widowControl w:val="0"/>
        <w:kinsoku/>
        <w:wordWrap/>
        <w:overflowPunct/>
        <w:topLinePunct w:val="0"/>
        <w:autoSpaceDE/>
        <w:autoSpaceDN/>
        <w:bidi w:val="0"/>
        <w:spacing w:line="560" w:lineRule="exact"/>
        <w:textAlignment w:val="auto"/>
        <w:rPr>
          <w:rFonts w:hint="eastAsia" w:ascii="方正仿宋_GB2312" w:hAnsi="方正仿宋_GB2312" w:eastAsia="方正仿宋_GB2312" w:cs="方正仿宋_GB2312"/>
          <w:b/>
          <w:color w:val="auto"/>
          <w:kern w:val="0"/>
          <w:sz w:val="32"/>
          <w:szCs w:val="32"/>
          <w:highlight w:val="none"/>
          <w:lang w:bidi="en-US"/>
        </w:rPr>
      </w:pPr>
    </w:p>
    <w:p>
      <w:pPr>
        <w:pageBreakBefore w:val="0"/>
        <w:widowControl w:val="0"/>
        <w:kinsoku/>
        <w:overflowPunct/>
        <w:topLinePunct w:val="0"/>
        <w:autoSpaceDN/>
        <w:bidi w:val="0"/>
        <w:spacing w:line="560" w:lineRule="exact"/>
        <w:textAlignment w:val="auto"/>
        <w:rPr>
          <w:rFonts w:hint="eastAsia" w:ascii="方正仿宋_GB2312" w:hAnsi="方正仿宋_GB2312" w:eastAsia="方正仿宋_GB2312" w:cs="方正仿宋_GB2312"/>
          <w:color w:val="auto"/>
          <w:highlight w:val="none"/>
        </w:rPr>
      </w:pPr>
    </w:p>
    <w:p>
      <w:pPr>
        <w:pStyle w:val="2"/>
        <w:pageBreakBefore w:val="0"/>
        <w:widowControl w:val="0"/>
        <w:kinsoku/>
        <w:overflowPunct/>
        <w:topLinePunct w:val="0"/>
        <w:autoSpaceDN/>
        <w:bidi w:val="0"/>
        <w:spacing w:line="560" w:lineRule="exact"/>
        <w:textAlignment w:val="auto"/>
        <w:rPr>
          <w:rFonts w:hint="eastAsia" w:ascii="方正仿宋_GB2312" w:hAnsi="方正仿宋_GB2312" w:eastAsia="方正仿宋_GB2312" w:cs="方正仿宋_GB2312"/>
          <w:lang w:eastAsia="zh-CN"/>
        </w:rPr>
      </w:pPr>
    </w:p>
    <w:p>
      <w:pPr>
        <w:pStyle w:val="2"/>
        <w:pageBreakBefore w:val="0"/>
        <w:widowControl w:val="0"/>
        <w:kinsoku/>
        <w:overflowPunct/>
        <w:topLinePunct w:val="0"/>
        <w:autoSpaceDN/>
        <w:bidi w:val="0"/>
        <w:spacing w:line="560" w:lineRule="exact"/>
        <w:textAlignment w:val="auto"/>
        <w:rPr>
          <w:rFonts w:hint="eastAsia" w:ascii="方正仿宋_GB2312" w:hAnsi="方正仿宋_GB2312" w:eastAsia="方正仿宋_GB2312" w:cs="方正仿宋_GB2312"/>
          <w:lang w:eastAsia="zh-CN"/>
        </w:rPr>
      </w:pPr>
    </w:p>
    <w:p>
      <w:pPr>
        <w:pStyle w:val="2"/>
        <w:pageBreakBefore w:val="0"/>
        <w:widowControl w:val="0"/>
        <w:kinsoku/>
        <w:overflowPunct/>
        <w:topLinePunct w:val="0"/>
        <w:autoSpaceDN/>
        <w:bidi w:val="0"/>
        <w:spacing w:line="560" w:lineRule="exact"/>
        <w:textAlignment w:val="auto"/>
        <w:rPr>
          <w:rFonts w:hint="eastAsia" w:ascii="方正仿宋_GB2312" w:hAnsi="方正仿宋_GB2312" w:eastAsia="方正仿宋_GB2312" w:cs="方正仿宋_GB2312"/>
          <w:lang w:eastAsia="zh-CN"/>
        </w:rPr>
      </w:pPr>
    </w:p>
    <w:p>
      <w:pPr>
        <w:pageBreakBefore w:val="0"/>
        <w:widowControl w:val="0"/>
        <w:kinsoku/>
        <w:wordWrap/>
        <w:overflowPunct/>
        <w:topLinePunct w:val="0"/>
        <w:autoSpaceDE/>
        <w:autoSpaceDN/>
        <w:bidi w:val="0"/>
        <w:spacing w:line="560" w:lineRule="exact"/>
        <w:textAlignment w:val="auto"/>
        <w:rPr>
          <w:rFonts w:hint="eastAsia" w:ascii="方正仿宋_GB2312" w:hAnsi="方正仿宋_GB2312" w:eastAsia="方正仿宋_GB2312" w:cs="方正仿宋_GB2312"/>
          <w:color w:val="auto"/>
          <w:highlight w:val="none"/>
        </w:rPr>
      </w:pPr>
    </w:p>
    <w:p>
      <w:pPr>
        <w:pageBreakBefore w:val="0"/>
        <w:widowControl w:val="0"/>
        <w:kinsoku/>
        <w:wordWrap/>
        <w:overflowPunct/>
        <w:topLinePunct w:val="0"/>
        <w:autoSpaceDE/>
        <w:autoSpaceDN/>
        <w:bidi w:val="0"/>
        <w:spacing w:line="560" w:lineRule="exact"/>
        <w:ind w:firstLine="0" w:firstLineChars="0"/>
        <w:jc w:val="both"/>
        <w:textAlignment w:val="auto"/>
        <w:rPr>
          <w:rFonts w:hint="eastAsia" w:ascii="方正仿宋_GB2312" w:hAnsi="方正仿宋_GB2312" w:eastAsia="方正仿宋_GB2312" w:cs="方正仿宋_GB2312"/>
          <w:color w:val="auto"/>
          <w:kern w:val="0"/>
          <w:sz w:val="32"/>
          <w:szCs w:val="32"/>
          <w:highlight w:val="none"/>
          <w:lang w:bidi="en-US"/>
        </w:rPr>
      </w:pPr>
    </w:p>
    <w:p>
      <w:pPr>
        <w:spacing w:line="700" w:lineRule="exact"/>
        <w:ind w:firstLine="640" w:firstLineChars="200"/>
        <w:jc w:val="left"/>
        <w:rPr>
          <w:rFonts w:hint="eastAsia" w:ascii="方正小标宋_GBK" w:hAnsi="方正小标宋_GBK" w:eastAsia="方正小标宋_GBK" w:cs="方正小标宋_GBK"/>
          <w:color w:val="FF0000"/>
          <w:kern w:val="2"/>
          <w:sz w:val="32"/>
          <w:szCs w:val="32"/>
          <w:lang w:val="en-US" w:eastAsia="zh-CN" w:bidi="ar-SA"/>
        </w:rPr>
      </w:pPr>
      <w:r>
        <w:rPr>
          <w:rFonts w:hint="eastAsia" w:ascii="方正小标宋_GBK" w:hAnsi="方正小标宋_GBK" w:eastAsia="方正小标宋_GBK" w:cs="方正小标宋_GBK"/>
          <w:color w:val="000000"/>
          <w:kern w:val="2"/>
          <w:sz w:val="32"/>
          <w:szCs w:val="32"/>
          <w:lang w:val="en-US" w:eastAsia="zh-CN" w:bidi="ar-SA"/>
        </w:rPr>
        <w:t>项目名称：叶城县吐古其乡防渗渠建设项目项目</w:t>
      </w:r>
    </w:p>
    <w:p>
      <w:pPr>
        <w:spacing w:line="700" w:lineRule="exact"/>
        <w:ind w:firstLine="640" w:firstLineChars="200"/>
        <w:jc w:val="left"/>
        <w:rPr>
          <w:rFonts w:hint="eastAsia" w:ascii="方正小标宋_GBK" w:hAnsi="方正小标宋_GBK" w:eastAsia="方正小标宋_GBK" w:cs="方正小标宋_GBK"/>
          <w:color w:val="000000"/>
          <w:kern w:val="2"/>
          <w:sz w:val="32"/>
          <w:szCs w:val="32"/>
          <w:lang w:val="en-US" w:eastAsia="zh-CN" w:bidi="ar-SA"/>
        </w:rPr>
      </w:pPr>
      <w:r>
        <w:rPr>
          <w:rFonts w:hint="eastAsia" w:ascii="方正小标宋_GBK" w:hAnsi="方正小标宋_GBK" w:eastAsia="方正小标宋_GBK" w:cs="方正小标宋_GBK"/>
          <w:color w:val="000000"/>
          <w:kern w:val="2"/>
          <w:sz w:val="32"/>
          <w:szCs w:val="32"/>
          <w:lang w:val="en-US" w:eastAsia="zh-CN" w:bidi="ar-SA"/>
        </w:rPr>
        <w:t>实施单位：吐古其乡人民政府</w:t>
      </w:r>
    </w:p>
    <w:p>
      <w:pPr>
        <w:spacing w:line="560" w:lineRule="exact"/>
        <w:ind w:firstLine="640" w:firstLineChars="200"/>
        <w:rPr>
          <w:rFonts w:hint="eastAsia" w:ascii="方正小标宋_GBK" w:hAnsi="方正小标宋_GBK" w:eastAsia="方正小标宋_GBK" w:cs="方正小标宋_GBK"/>
          <w:color w:val="000000"/>
          <w:kern w:val="2"/>
          <w:sz w:val="32"/>
          <w:szCs w:val="32"/>
          <w:lang w:val="en-US" w:eastAsia="zh-CN" w:bidi="ar-SA"/>
        </w:rPr>
      </w:pPr>
      <w:r>
        <w:rPr>
          <w:rFonts w:hint="eastAsia" w:ascii="方正小标宋_GBK" w:hAnsi="方正小标宋_GBK" w:eastAsia="方正小标宋_GBK" w:cs="方正小标宋_GBK"/>
          <w:color w:val="000000"/>
          <w:kern w:val="2"/>
          <w:sz w:val="32"/>
          <w:szCs w:val="32"/>
          <w:lang w:val="en-US" w:eastAsia="zh-CN" w:bidi="ar-SA"/>
        </w:rPr>
        <w:t>主管部门：叶城县农业农村局</w:t>
      </w:r>
    </w:p>
    <w:p>
      <w:pPr>
        <w:spacing w:line="700" w:lineRule="exact"/>
        <w:ind w:firstLine="640" w:firstLineChars="200"/>
        <w:jc w:val="left"/>
        <w:rPr>
          <w:rFonts w:hint="eastAsia" w:ascii="方正小标宋_GBK" w:hAnsi="方正小标宋_GBK" w:eastAsia="方正小标宋_GBK" w:cs="方正小标宋_GBK"/>
          <w:color w:val="000000"/>
          <w:kern w:val="2"/>
          <w:sz w:val="32"/>
          <w:szCs w:val="32"/>
          <w:lang w:val="en-US" w:eastAsia="zh-CN" w:bidi="ar-SA"/>
        </w:rPr>
      </w:pPr>
      <w:r>
        <w:rPr>
          <w:rFonts w:hint="eastAsia" w:ascii="方正小标宋_GBK" w:hAnsi="方正小标宋_GBK" w:eastAsia="方正小标宋_GBK" w:cs="方正小标宋_GBK"/>
          <w:color w:val="000000"/>
          <w:kern w:val="2"/>
          <w:sz w:val="32"/>
          <w:szCs w:val="32"/>
          <w:lang w:val="en-US" w:eastAsia="zh-CN" w:bidi="ar-SA"/>
        </w:rPr>
        <w:t>项目负责人：鲜斌</w:t>
      </w:r>
    </w:p>
    <w:p>
      <w:pPr>
        <w:spacing w:line="700" w:lineRule="exact"/>
        <w:ind w:firstLine="640" w:firstLineChars="200"/>
        <w:jc w:val="left"/>
        <w:rPr>
          <w:rFonts w:hint="eastAsia" w:ascii="方正小标宋_GBK" w:hAnsi="方正小标宋_GBK" w:eastAsia="方正小标宋_GBK" w:cs="方正小标宋_GBK"/>
          <w:color w:val="000000"/>
          <w:kern w:val="2"/>
          <w:sz w:val="32"/>
          <w:szCs w:val="32"/>
          <w:lang w:val="en-US" w:eastAsia="zh-CN" w:bidi="ar-SA"/>
        </w:rPr>
      </w:pPr>
      <w:r>
        <w:rPr>
          <w:rFonts w:hint="eastAsia" w:ascii="方正小标宋_GBK" w:hAnsi="方正小标宋_GBK" w:eastAsia="方正小标宋_GBK" w:cs="方正小标宋_GBK"/>
          <w:color w:val="000000"/>
          <w:kern w:val="2"/>
          <w:sz w:val="32"/>
          <w:szCs w:val="32"/>
          <w:lang w:val="en-US" w:eastAsia="zh-CN" w:bidi="ar-SA"/>
        </w:rPr>
        <w:t>填报时间： 2024年1月</w:t>
      </w:r>
    </w:p>
    <w:p>
      <w:pPr>
        <w:pStyle w:val="6"/>
        <w:rPr>
          <w:rFonts w:hint="eastAsia" w:ascii="方正仿宋_GB2312" w:hAnsi="方正仿宋_GB2312" w:eastAsia="方正仿宋_GB2312" w:cs="方正仿宋_GB2312"/>
          <w:color w:val="000000"/>
          <w:kern w:val="2"/>
          <w:sz w:val="32"/>
          <w:szCs w:val="32"/>
          <w:lang w:val="en-US" w:eastAsia="zh-CN" w:bidi="ar-SA"/>
        </w:rPr>
      </w:pPr>
    </w:p>
    <w:p>
      <w:pPr>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spacing w:line="560" w:lineRule="exact"/>
        <w:ind w:firstLine="1200" w:firstLineChars="400"/>
        <w:jc w:val="left"/>
        <w:rPr>
          <w:rFonts w:hint="eastAsia" w:ascii="方正仿宋_GB2312" w:hAnsi="方正仿宋_GB2312" w:eastAsia="方正仿宋_GB2312" w:cs="方正仿宋_GB2312"/>
          <w:color w:val="auto"/>
          <w:kern w:val="0"/>
          <w:sz w:val="30"/>
          <w:szCs w:val="30"/>
          <w:lang w:bidi="en-US"/>
        </w:rPr>
      </w:pPr>
    </w:p>
    <w:p>
      <w:pPr>
        <w:pageBreakBefore w:val="0"/>
        <w:widowControl w:val="0"/>
        <w:kinsoku/>
        <w:overflowPunct/>
        <w:topLinePunct w:val="0"/>
        <w:autoSpaceDN/>
        <w:bidi w:val="0"/>
        <w:spacing w:line="560" w:lineRule="exact"/>
        <w:jc w:val="center"/>
        <w:textAlignment w:val="auto"/>
        <w:rPr>
          <w:rFonts w:hint="eastAsia" w:ascii="方正小标宋_GBK" w:hAnsi="方正小标宋_GBK" w:eastAsia="方正小标宋_GBK" w:cs="方正小标宋_GBK"/>
          <w:b/>
          <w:bCs/>
          <w:color w:val="000000"/>
          <w:sz w:val="44"/>
          <w:szCs w:val="44"/>
        </w:rPr>
      </w:pPr>
      <w:r>
        <w:rPr>
          <w:rFonts w:hint="eastAsia" w:ascii="方正小标宋_GBK" w:hAnsi="方正小标宋_GBK" w:eastAsia="方正小标宋_GBK" w:cs="方正小标宋_GBK"/>
          <w:b/>
          <w:bCs/>
          <w:color w:val="000000"/>
          <w:sz w:val="44"/>
          <w:szCs w:val="44"/>
          <w:lang w:val="en-US" w:eastAsia="zh-CN"/>
        </w:rPr>
        <w:t>叶城县吐古其乡防渗渠建设项目</w:t>
      </w:r>
      <w:r>
        <w:rPr>
          <w:rFonts w:hint="eastAsia" w:ascii="方正小标宋_GBK" w:hAnsi="方正小标宋_GBK" w:eastAsia="方正小标宋_GBK" w:cs="方正小标宋_GBK"/>
          <w:b/>
          <w:bCs/>
          <w:color w:val="000000"/>
          <w:sz w:val="44"/>
          <w:szCs w:val="44"/>
        </w:rPr>
        <w:t>绩效自评总结报告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黑体_GBK" w:hAnsi="方正黑体_GBK" w:eastAsia="方正黑体_GBK" w:cs="方正黑体_GBK"/>
          <w:b/>
          <w:color w:val="000000"/>
          <w:sz w:val="32"/>
          <w:szCs w:val="32"/>
        </w:rPr>
      </w:pPr>
      <w:r>
        <w:rPr>
          <w:rFonts w:hint="eastAsia" w:ascii="方正黑体_GBK" w:hAnsi="方正黑体_GBK" w:eastAsia="方正黑体_GBK" w:cs="方正黑体_GBK"/>
          <w:b/>
          <w:color w:val="000000"/>
          <w:sz w:val="32"/>
          <w:szCs w:val="32"/>
        </w:rPr>
        <w:t>一、绩效目标分解下达情况</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1.财政衔接推进乡村振兴补助资金下达预算及项目情况。</w:t>
      </w:r>
    </w:p>
    <w:p>
      <w:pPr>
        <w:pStyle w:val="17"/>
        <w:pageBreakBefore w:val="0"/>
        <w:kinsoku/>
        <w:wordWrap/>
        <w:topLinePunct w:val="0"/>
        <w:autoSpaceDE/>
        <w:autoSpaceDN/>
        <w:bidi w:val="0"/>
        <w:spacing w:line="560" w:lineRule="exact"/>
        <w:ind w:firstLine="640"/>
        <w:rPr>
          <w:rFonts w:hint="eastAsia" w:ascii="方正仿宋_GBK" w:hAnsi="方正仿宋_GBK" w:eastAsia="方正仿宋_GBK" w:cs="方正仿宋_GBK"/>
          <w:b w:val="0"/>
          <w:bCs w:val="0"/>
          <w:color w:val="000000"/>
          <w:sz w:val="32"/>
          <w:szCs w:val="32"/>
          <w:lang w:val="en-US" w:eastAsia="zh-CN"/>
        </w:rPr>
      </w:pPr>
      <w:r>
        <w:rPr>
          <w:rFonts w:hint="eastAsia" w:ascii="方正仿宋_GBK" w:hAnsi="方正仿宋_GBK" w:eastAsia="方正仿宋_GBK" w:cs="方正仿宋_GBK"/>
          <w:b w:val="0"/>
          <w:bCs w:val="0"/>
          <w:color w:val="000000"/>
          <w:sz w:val="32"/>
          <w:szCs w:val="32"/>
          <w:lang w:val="en-US" w:eastAsia="zh-CN"/>
        </w:rPr>
        <w:t>根据《关于下达2023年中央财政衔接推进乡村振兴补助资金预算的通知》（喀地财振【2022】4号），下达2023年中央财政衔接推进乡村振兴补助资金，叶城县吐古其乡防渗渠建设项目项目，该项目预算金额为704.49万元，项目完工后，将为当地群众农业灌溉用水带来了极大便利。预计带动增加脱贫巩固户全年总收入90万元，预计带动脱贫户和边缘易致贫户人数60人。</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2.财政衔接推进乡村振兴补助资金项目绩效目标设定情况。</w:t>
      </w:r>
    </w:p>
    <w:p>
      <w:pPr>
        <w:pStyle w:val="17"/>
        <w:pageBreakBefore w:val="0"/>
        <w:kinsoku/>
        <w:wordWrap/>
        <w:topLinePunct w:val="0"/>
        <w:autoSpaceDE/>
        <w:autoSpaceDN/>
        <w:bidi w:val="0"/>
        <w:spacing w:line="560" w:lineRule="exact"/>
        <w:ind w:firstLine="640"/>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用于建设防渗渠10公里，流量为0.3-0.5m3/s，70.45万元/公里，配套相关附属设施，其中1村1.1公里、2村2.1公里、3村1.9公里、4村0.5公里、7村1.2公里、8村1.2公里、9村0.4公里、10村0.2公里、11村0.8公里、12村0.6公里。项目完工后，将为当地群众农业灌溉用水带来了极大便利。预计带动增加脱贫巩固户全年总收入90万元，预计带动脱贫户和边缘易致贫户人数60人，通过项目的实施提高乡村治理水平。要充分发挥基层组织建设作用，多元化农村精神文明建设平台载体，持续保障农村稳定。三是要加强乡村振兴政策保障和体制创新。要加大乡村振兴投入，提高乡村振兴金融服务水平，加强乡村振兴人才队伍建设，落实农村改革重点任务。</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黑体_GBK" w:hAnsi="方正黑体_GBK" w:eastAsia="方正黑体_GBK" w:cs="方正黑体_GBK"/>
          <w:b/>
          <w:color w:val="000000"/>
          <w:sz w:val="32"/>
          <w:szCs w:val="32"/>
        </w:rPr>
      </w:pPr>
      <w:r>
        <w:rPr>
          <w:rFonts w:hint="eastAsia" w:ascii="方正黑体_GBK" w:hAnsi="方正黑体_GBK" w:eastAsia="方正黑体_GBK" w:cs="方正黑体_GBK"/>
          <w:b/>
          <w:color w:val="000000"/>
          <w:sz w:val="32"/>
          <w:szCs w:val="32"/>
        </w:rPr>
        <w:t>二、绩效自评工作开展情况</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包括自评工作开展范围、对象、时间及方式等。</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1. 绩效评价范围</w:t>
      </w:r>
    </w:p>
    <w:p>
      <w:pPr>
        <w:pStyle w:val="17"/>
        <w:pageBreakBefore w:val="0"/>
        <w:kinsoku/>
        <w:wordWrap/>
        <w:topLinePunct w:val="0"/>
        <w:autoSpaceDE/>
        <w:autoSpaceDN/>
        <w:bidi w:val="0"/>
        <w:spacing w:line="560" w:lineRule="exact"/>
        <w:ind w:firstLine="640"/>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2. 绩效评价对象</w:t>
      </w:r>
    </w:p>
    <w:p>
      <w:pPr>
        <w:pStyle w:val="17"/>
        <w:pageBreakBefore w:val="0"/>
        <w:kinsoku/>
        <w:wordWrap/>
        <w:topLinePunct w:val="0"/>
        <w:autoSpaceDE/>
        <w:autoSpaceDN/>
        <w:bidi w:val="0"/>
        <w:spacing w:line="560" w:lineRule="exact"/>
        <w:ind w:firstLine="640"/>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3.绩效评价时间</w:t>
      </w:r>
    </w:p>
    <w:p>
      <w:pPr>
        <w:pStyle w:val="17"/>
        <w:pageBreakBefore w:val="0"/>
        <w:kinsoku/>
        <w:wordWrap/>
        <w:topLinePunct w:val="0"/>
        <w:autoSpaceDE/>
        <w:autoSpaceDN/>
        <w:bidi w:val="0"/>
        <w:spacing w:line="560" w:lineRule="exact"/>
        <w:ind w:firstLine="640"/>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2024年1月1日-2024年1月31日</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4. 绩效评价方法</w:t>
      </w:r>
    </w:p>
    <w:p>
      <w:pPr>
        <w:pStyle w:val="17"/>
        <w:pageBreakBefore w:val="0"/>
        <w:kinsoku/>
        <w:wordWrap/>
        <w:topLinePunct w:val="0"/>
        <w:autoSpaceDE/>
        <w:autoSpaceDN/>
        <w:bidi w:val="0"/>
        <w:spacing w:line="560" w:lineRule="exact"/>
        <w:ind w:firstLine="640"/>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本次绩效评价方法的选用坚持简便有效的原则采用综合分析法。</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5. 绩效评价标准</w:t>
      </w:r>
    </w:p>
    <w:p>
      <w:pPr>
        <w:pStyle w:val="17"/>
        <w:pageBreakBefore w:val="0"/>
        <w:kinsoku/>
        <w:wordWrap/>
        <w:topLinePunct w:val="0"/>
        <w:autoSpaceDE/>
        <w:autoSpaceDN/>
        <w:bidi w:val="0"/>
        <w:spacing w:line="560" w:lineRule="exact"/>
        <w:ind w:firstLine="640"/>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绩效评价标准通常包括计划标准、行业标准、历史标准等，用于对绩效指标完成情况进行比较、分析、评价。本次评价主要采用了计划标准。</w:t>
      </w:r>
    </w:p>
    <w:p>
      <w:pPr>
        <w:pStyle w:val="17"/>
        <w:pageBreakBefore w:val="0"/>
        <w:kinsoku/>
        <w:wordWrap/>
        <w:topLinePunct w:val="0"/>
        <w:autoSpaceDE/>
        <w:autoSpaceDN/>
        <w:bidi w:val="0"/>
        <w:spacing w:line="560" w:lineRule="exact"/>
        <w:ind w:firstLine="640"/>
        <w:rPr>
          <w:rFonts w:hint="eastAsia" w:ascii="方正仿宋_GBK" w:hAnsi="方正仿宋_GBK" w:eastAsia="方正仿宋_GBK" w:cs="方正仿宋_GBK"/>
          <w:b w:val="0"/>
          <w:bCs w:val="0"/>
          <w:color w:val="000000"/>
          <w:kern w:val="0"/>
          <w:sz w:val="32"/>
          <w:szCs w:val="32"/>
          <w:lang w:val="en-US" w:eastAsia="zh-CN" w:bidi="ar-SA"/>
        </w:rPr>
      </w:pPr>
      <w:bookmarkStart w:id="0" w:name="_Toc31464"/>
      <w:bookmarkStart w:id="1" w:name="_Toc17882"/>
      <w:r>
        <w:rPr>
          <w:rFonts w:hint="eastAsia" w:ascii="方正仿宋_GBK" w:hAnsi="方正仿宋_GBK" w:eastAsia="方正仿宋_GBK" w:cs="方正仿宋_GBK"/>
          <w:b w:val="0"/>
          <w:bCs w:val="0"/>
          <w:color w:val="000000"/>
          <w:kern w:val="0"/>
          <w:sz w:val="32"/>
          <w:szCs w:val="32"/>
          <w:lang w:val="en-US" w:eastAsia="zh-CN" w:bidi="ar-SA"/>
        </w:rPr>
        <w:t>计划标准：指以预先制定的目标、计划、预算、定额等作为评价标准。</w:t>
      </w:r>
      <w:bookmarkEnd w:id="0"/>
      <w:bookmarkEnd w:id="1"/>
    </w:p>
    <w:p>
      <w:pPr>
        <w:pStyle w:val="17"/>
        <w:pageBreakBefore w:val="0"/>
        <w:kinsoku/>
        <w:wordWrap/>
        <w:topLinePunct w:val="0"/>
        <w:autoSpaceDE/>
        <w:autoSpaceDN/>
        <w:bidi w:val="0"/>
        <w:spacing w:line="560" w:lineRule="exact"/>
        <w:ind w:firstLine="640"/>
        <w:rPr>
          <w:rFonts w:hint="eastAsia" w:ascii="方正仿宋_GBK" w:hAnsi="方正仿宋_GBK" w:eastAsia="方正仿宋_GBK" w:cs="方正仿宋_GBK"/>
          <w:b w:val="0"/>
          <w:bCs w:val="0"/>
          <w:color w:val="000000"/>
          <w:kern w:val="0"/>
          <w:sz w:val="32"/>
          <w:szCs w:val="32"/>
          <w:lang w:val="en-US" w:eastAsia="zh-CN" w:bidi="ar-SA"/>
        </w:rPr>
      </w:pPr>
      <w:bookmarkStart w:id="2" w:name="_Toc5633"/>
      <w:bookmarkStart w:id="3" w:name="_Toc2318"/>
      <w:r>
        <w:rPr>
          <w:rFonts w:hint="eastAsia" w:ascii="方正仿宋_GBK" w:hAnsi="方正仿宋_GBK" w:eastAsia="方正仿宋_GBK" w:cs="方正仿宋_GBK"/>
          <w:b w:val="0"/>
          <w:bCs w:val="0"/>
          <w:color w:val="000000"/>
          <w:kern w:val="0"/>
          <w:sz w:val="32"/>
          <w:szCs w:val="32"/>
          <w:lang w:val="en-US" w:eastAsia="zh-CN" w:bidi="ar-SA"/>
        </w:rPr>
        <w:t>行业标准：指参照国家公布的行业指标数据制定的评价标准。</w:t>
      </w:r>
      <w:bookmarkEnd w:id="2"/>
      <w:bookmarkEnd w:id="3"/>
    </w:p>
    <w:p>
      <w:pPr>
        <w:pStyle w:val="17"/>
        <w:pageBreakBefore w:val="0"/>
        <w:kinsoku/>
        <w:wordWrap/>
        <w:topLinePunct w:val="0"/>
        <w:autoSpaceDE/>
        <w:autoSpaceDN/>
        <w:bidi w:val="0"/>
        <w:spacing w:line="560" w:lineRule="exact"/>
        <w:ind w:firstLine="640"/>
        <w:rPr>
          <w:rFonts w:hint="eastAsia" w:ascii="方正仿宋_GBK" w:hAnsi="方正仿宋_GBK" w:eastAsia="方正仿宋_GBK" w:cs="方正仿宋_GBK"/>
          <w:b w:val="0"/>
          <w:bCs w:val="0"/>
          <w:color w:val="000000"/>
          <w:kern w:val="0"/>
          <w:sz w:val="32"/>
          <w:szCs w:val="32"/>
          <w:lang w:val="en-US" w:eastAsia="zh-CN" w:bidi="ar-SA"/>
        </w:rPr>
      </w:pPr>
      <w:bookmarkStart w:id="4" w:name="_Toc16028"/>
      <w:bookmarkStart w:id="5" w:name="_Toc430"/>
      <w:r>
        <w:rPr>
          <w:rFonts w:hint="eastAsia" w:ascii="方正仿宋_GBK" w:hAnsi="方正仿宋_GBK" w:eastAsia="方正仿宋_GBK" w:cs="方正仿宋_GBK"/>
          <w:b w:val="0"/>
          <w:bCs w:val="0"/>
          <w:color w:val="000000"/>
          <w:kern w:val="0"/>
          <w:sz w:val="32"/>
          <w:szCs w:val="32"/>
          <w:lang w:val="en-US" w:eastAsia="zh-CN" w:bidi="ar-SA"/>
        </w:rPr>
        <w:t>历史标准：指参照历史数据制定的评价标准，为体现绩效改进的原则，在可实现的条件下应当确定相对较高的评价标准。</w:t>
      </w:r>
      <w:bookmarkEnd w:id="4"/>
      <w:bookmarkEnd w:id="5"/>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黑体_GBK" w:hAnsi="方正黑体_GBK" w:eastAsia="方正黑体_GBK" w:cs="方正黑体_GBK"/>
          <w:b/>
          <w:color w:val="000000"/>
          <w:sz w:val="32"/>
          <w:szCs w:val="32"/>
        </w:rPr>
      </w:pPr>
      <w:r>
        <w:rPr>
          <w:rFonts w:hint="eastAsia" w:ascii="方正黑体_GBK" w:hAnsi="方正黑体_GBK" w:eastAsia="方正黑体_GBK" w:cs="方正黑体_GBK"/>
          <w:b/>
          <w:color w:val="000000"/>
          <w:sz w:val="32"/>
          <w:szCs w:val="32"/>
        </w:rPr>
        <w:t>三、绩效目标自评完成情况分析</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仿宋_GBK" w:hAnsi="方正仿宋_GBK" w:eastAsia="方正仿宋_GBK" w:cs="方正仿宋_GBK"/>
          <w:b/>
          <w:bCs/>
          <w:color w:val="000000"/>
          <w:sz w:val="32"/>
          <w:szCs w:val="32"/>
        </w:rPr>
      </w:pPr>
      <w:r>
        <w:rPr>
          <w:rFonts w:hint="eastAsia" w:ascii="方正仿宋_GBK" w:hAnsi="方正仿宋_GBK" w:eastAsia="方正仿宋_GBK" w:cs="方正仿宋_GBK"/>
          <w:b/>
          <w:bCs/>
          <w:color w:val="000000"/>
          <w:sz w:val="32"/>
          <w:szCs w:val="32"/>
        </w:rPr>
        <w:t>1.项目资金到位情况分析。</w:t>
      </w:r>
    </w:p>
    <w:p>
      <w:pPr>
        <w:pStyle w:val="17"/>
        <w:pageBreakBefore w:val="0"/>
        <w:kinsoku/>
        <w:wordWrap/>
        <w:topLinePunct w:val="0"/>
        <w:autoSpaceDE/>
        <w:autoSpaceDN/>
        <w:bidi w:val="0"/>
        <w:spacing w:line="560" w:lineRule="exact"/>
        <w:ind w:firstLine="640"/>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该项目共安排下达资金</w:t>
      </w:r>
      <w:r>
        <w:rPr>
          <w:rFonts w:hint="eastAsia" w:ascii="方正仿宋_GBK" w:hAnsi="方正仿宋_GBK" w:eastAsia="方正仿宋_GBK" w:cs="方正仿宋_GBK"/>
          <w:b w:val="0"/>
          <w:bCs w:val="0"/>
          <w:color w:val="000000"/>
          <w:sz w:val="32"/>
          <w:szCs w:val="32"/>
          <w:lang w:val="en-US" w:eastAsia="zh-CN"/>
        </w:rPr>
        <w:t>704.49</w:t>
      </w:r>
      <w:r>
        <w:rPr>
          <w:rFonts w:hint="eastAsia" w:ascii="方正仿宋_GBK" w:hAnsi="方正仿宋_GBK" w:eastAsia="方正仿宋_GBK" w:cs="方正仿宋_GBK"/>
          <w:b w:val="0"/>
          <w:bCs w:val="0"/>
          <w:color w:val="000000"/>
          <w:kern w:val="0"/>
          <w:sz w:val="32"/>
          <w:szCs w:val="32"/>
          <w:lang w:val="en-US" w:eastAsia="zh-CN" w:bidi="ar-SA"/>
        </w:rPr>
        <w:t>万元，为衔接资金，最终确定项目资金总数为704.49万元。</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2.项目资金执行情况分析。</w:t>
      </w:r>
    </w:p>
    <w:p>
      <w:pPr>
        <w:pStyle w:val="17"/>
        <w:pageBreakBefore w:val="0"/>
        <w:kinsoku/>
        <w:wordWrap/>
        <w:topLinePunct w:val="0"/>
        <w:autoSpaceDE/>
        <w:autoSpaceDN/>
        <w:bidi w:val="0"/>
        <w:spacing w:line="560" w:lineRule="exact"/>
        <w:ind w:firstLine="640"/>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截至2023年12月31日，实际支出704.49万元，预算执行率100%。</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3.项目资金管理情况分析。</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本项目支出符合《喀什地区财政巩固拓展脱贫攻坚成果同乡村振兴有效衔接资金管理办法（试行）》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w:t>
      </w:r>
      <w:bookmarkStart w:id="6" w:name="_GoBack"/>
      <w:bookmarkEnd w:id="6"/>
      <w:r>
        <w:rPr>
          <w:rFonts w:hint="eastAsia" w:ascii="方正仿宋_GBK" w:hAnsi="方正仿宋_GBK" w:eastAsia="方正仿宋_GBK" w:cs="方正仿宋_GBK"/>
          <w:b w:val="0"/>
          <w:bCs w:val="0"/>
          <w:color w:val="000000"/>
          <w:kern w:val="0"/>
          <w:sz w:val="32"/>
          <w:szCs w:val="32"/>
          <w:lang w:val="en-US" w:eastAsia="zh-CN" w:bidi="ar-SA"/>
        </w:rPr>
        <w:t>手续，不存在截留、挤占、挪用等情况。</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z w:val="32"/>
          <w:szCs w:val="32"/>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（1）对于“数量指标”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新建防渗渠长度10公里，与预期目标一致，指标标杆分值为8分，根据评分标准，该指标不扣分，得8分。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合计得8分。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（2）对于“质量指标”：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项目（工程）验收合格率100%，与预期目标一致，指标标杆分值为8分,根据评分标准，该指标不扣分，得8分。     合计得8分。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（3）对于“时效指标”：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项目开工时间2023年5月，与预期目标指标一致，指标标杆分值为8分,根据评分标准，该指标不扣分，得8分。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项目完工时间2023年8月，与预期目标指标一致，指标标杆分值为8分,根据评分标准，该指标不扣分，得8分。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项目（工程）完成及时率100%，与预期目标一致，指标标杆分值为9分，根据评分标准，该指标不扣分，得9分。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合计得25分。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（4）对于“成本指标”：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新建防渗渠每公里成本70.45万元/公里，与预期目标指标一致。指标标杆分值为9分，根据评分标准，该指标不扣分，得9分。</w:t>
      </w:r>
    </w:p>
    <w:p>
      <w:pPr>
        <w:pStyle w:val="2"/>
        <w:keepNext w:val="0"/>
        <w:keepLines w:val="0"/>
        <w:pageBreakBefore w:val="0"/>
        <w:widowControl w:val="0"/>
        <w:kinsoku/>
        <w:overflowPunct/>
        <w:topLinePunct w:val="0"/>
        <w:autoSpaceDN/>
        <w:bidi w:val="0"/>
        <w:adjustRightInd/>
        <w:snapToGrid/>
        <w:spacing w:line="560" w:lineRule="exact"/>
        <w:textAlignment w:val="auto"/>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合计得9分。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1.实施效益指标：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（1）对于“社会效益指标”：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带动脱贫户和边缘易致贫户人数60人，与预期指标一致，指标标杆分值为8分，根据评分标准，该指标不扣分，得8分。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有效提升农村水利基础设施条件，与预期指标一致，指标标杆分值为8分，根据评分标准，该指标不扣分，得8分。</w:t>
      </w:r>
    </w:p>
    <w:p>
      <w:pPr>
        <w:pStyle w:val="2"/>
        <w:keepNext w:val="0"/>
        <w:keepLines w:val="0"/>
        <w:pageBreakBefore w:val="0"/>
        <w:widowControl w:val="0"/>
        <w:kinsoku/>
        <w:overflowPunct/>
        <w:topLinePunct w:val="0"/>
        <w:autoSpaceDN/>
        <w:bidi w:val="0"/>
        <w:adjustRightInd/>
        <w:snapToGrid/>
        <w:spacing w:line="560" w:lineRule="exact"/>
        <w:textAlignment w:val="auto"/>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合计得16分。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（2）对于“经济效益指标”：</w:t>
      </w:r>
    </w:p>
    <w:p>
      <w:pPr>
        <w:pStyle w:val="2"/>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该项目无经济效益指标</w:t>
      </w:r>
    </w:p>
    <w:p>
      <w:pPr>
        <w:pStyle w:val="2"/>
        <w:keepNext w:val="0"/>
        <w:keepLines w:val="0"/>
        <w:pageBreakBefore w:val="0"/>
        <w:widowControl w:val="0"/>
        <w:numPr>
          <w:ilvl w:val="0"/>
          <w:numId w:val="1"/>
        </w:numPr>
        <w:kinsoku/>
        <w:overflowPunct/>
        <w:topLinePunct w:val="0"/>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对于“生态效益指标”：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有效改善灌溉条件改善生态环境规划，与预期指标一致，指标标杆分值为7分，根据评分标准，该指标不扣分，得7分。</w:t>
      </w:r>
    </w:p>
    <w:p>
      <w:pPr>
        <w:pStyle w:val="2"/>
        <w:keepNext w:val="0"/>
        <w:keepLines w:val="0"/>
        <w:pageBreakBefore w:val="0"/>
        <w:widowControl w:val="0"/>
        <w:kinsoku/>
        <w:overflowPunct/>
        <w:topLinePunct w:val="0"/>
        <w:autoSpaceDN/>
        <w:bidi w:val="0"/>
        <w:adjustRightInd/>
        <w:snapToGrid/>
        <w:spacing w:line="560" w:lineRule="exact"/>
        <w:textAlignment w:val="auto"/>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合计得7分。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（4）对于“可持续影响指标”：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项目工程设计使用年限15年以上，与预期指标一致，指标标杆分值为7分，根据评分标准，该指标不扣分，得7分。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方正仿宋_GBK" w:hAnsi="方正仿宋_GBK" w:eastAsia="方正仿宋_GBK" w:cs="方正仿宋_GBK"/>
          <w:b/>
          <w:bCs/>
          <w:color w:val="auto"/>
          <w:kern w:val="2"/>
          <w:sz w:val="32"/>
          <w:szCs w:val="32"/>
          <w:lang w:val="en-US" w:eastAsia="zh-CN" w:bidi="ar-SA"/>
        </w:rPr>
      </w:pPr>
      <w:r>
        <w:rPr>
          <w:rFonts w:hint="eastAsia" w:ascii="方正仿宋_GBK" w:hAnsi="方正仿宋_GBK" w:eastAsia="方正仿宋_GBK" w:cs="方正仿宋_GBK"/>
          <w:b/>
          <w:bCs/>
          <w:color w:val="auto"/>
          <w:kern w:val="2"/>
          <w:sz w:val="32"/>
          <w:szCs w:val="32"/>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对于“满意度指标”：受益乡镇居民满意度95%，与预期目标一致，根据评分标准，该指标不扣分，得10分。</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黑体_GBK" w:hAnsi="方正黑体_GBK" w:eastAsia="方正黑体_GBK" w:cs="方正黑体_GBK"/>
          <w:b/>
          <w:color w:val="000000"/>
          <w:sz w:val="32"/>
          <w:szCs w:val="32"/>
          <w:lang w:val="en-US" w:eastAsia="zh-CN"/>
        </w:rPr>
      </w:pPr>
      <w:r>
        <w:rPr>
          <w:rFonts w:hint="eastAsia" w:ascii="方正黑体_GBK" w:hAnsi="方正黑体_GBK" w:eastAsia="方正黑体_GBK" w:cs="方正黑体_GBK"/>
          <w:b/>
          <w:color w:val="000000"/>
          <w:sz w:val="32"/>
          <w:szCs w:val="32"/>
          <w:lang w:val="en-US" w:eastAsia="zh-CN"/>
        </w:rPr>
        <w:t>四、偏离绩效目标的原因和下一步改进措施</w:t>
      </w:r>
    </w:p>
    <w:p>
      <w:pPr>
        <w:pStyle w:val="17"/>
        <w:pageBreakBefore w:val="0"/>
        <w:kinsoku/>
        <w:wordWrap/>
        <w:topLinePunct w:val="0"/>
        <w:autoSpaceDE/>
        <w:autoSpaceDN/>
        <w:bidi w:val="0"/>
        <w:spacing w:line="560" w:lineRule="exact"/>
        <w:ind w:firstLine="640"/>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叶城县吐古其乡防渗渠建设项目预算</w:t>
      </w:r>
      <w:r>
        <w:rPr>
          <w:rFonts w:hint="eastAsia" w:ascii="方正仿宋_GBK" w:hAnsi="方正仿宋_GBK" w:eastAsia="方正仿宋_GBK" w:cs="方正仿宋_GBK"/>
          <w:b w:val="0"/>
          <w:bCs w:val="0"/>
          <w:color w:val="000000"/>
          <w:sz w:val="32"/>
          <w:szCs w:val="32"/>
          <w:lang w:val="en-US" w:eastAsia="zh-CN"/>
        </w:rPr>
        <w:t>704.49</w:t>
      </w:r>
      <w:r>
        <w:rPr>
          <w:rFonts w:hint="eastAsia" w:ascii="方正仿宋_GBK" w:hAnsi="方正仿宋_GBK" w:eastAsia="方正仿宋_GBK" w:cs="方正仿宋_GBK"/>
          <w:b w:val="0"/>
          <w:bCs w:val="0"/>
          <w:color w:val="000000"/>
          <w:kern w:val="0"/>
          <w:sz w:val="32"/>
          <w:szCs w:val="32"/>
          <w:lang w:val="en-US" w:eastAsia="zh-CN" w:bidi="ar-SA"/>
        </w:rPr>
        <w:t>万元，到位</w:t>
      </w:r>
      <w:r>
        <w:rPr>
          <w:rFonts w:hint="eastAsia" w:ascii="方正仿宋_GBK" w:hAnsi="方正仿宋_GBK" w:eastAsia="方正仿宋_GBK" w:cs="方正仿宋_GBK"/>
          <w:b w:val="0"/>
          <w:bCs w:val="0"/>
          <w:color w:val="000000"/>
          <w:sz w:val="32"/>
          <w:szCs w:val="32"/>
          <w:lang w:val="en-US" w:eastAsia="zh-CN"/>
        </w:rPr>
        <w:t>704.49</w:t>
      </w:r>
      <w:r>
        <w:rPr>
          <w:rFonts w:hint="eastAsia" w:ascii="方正仿宋_GBK" w:hAnsi="方正仿宋_GBK" w:eastAsia="方正仿宋_GBK" w:cs="方正仿宋_GBK"/>
          <w:b w:val="0"/>
          <w:bCs w:val="0"/>
          <w:color w:val="000000"/>
          <w:kern w:val="0"/>
          <w:sz w:val="32"/>
          <w:szCs w:val="32"/>
          <w:lang w:val="en-US" w:eastAsia="zh-CN" w:bidi="ar-SA"/>
        </w:rPr>
        <w:t>万元，实际支出704.49万元，预算执行率为100%，项目绩效指标总体完成率为100%，无偏差。</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黑体_GBK" w:hAnsi="方正黑体_GBK" w:eastAsia="方正黑体_GBK" w:cs="方正黑体_GBK"/>
          <w:b/>
          <w:color w:val="000000"/>
          <w:sz w:val="32"/>
          <w:szCs w:val="32"/>
        </w:rPr>
      </w:pPr>
      <w:r>
        <w:rPr>
          <w:rFonts w:hint="eastAsia" w:ascii="方正黑体_GBK" w:hAnsi="方正黑体_GBK" w:eastAsia="方正黑体_GBK" w:cs="方正黑体_GBK"/>
          <w:b/>
          <w:color w:val="000000"/>
          <w:sz w:val="32"/>
          <w:szCs w:val="32"/>
          <w:lang w:val="en-US" w:eastAsia="zh-CN"/>
        </w:rPr>
        <w:t>五、综合评价结论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评价结果分为优、良、中、差四个等级：优（90分（含）—100分）；良（80分（含）—90分）；中（60分（含）—80分）；差（0分—60分）。</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叶城县吐古其乡防渗渠建设项目已建设防渗渠10公里，项目完工后，将为当地群众农业灌溉用水带来了极大便利。该项目最终评分100分，绩效评级为“优”。</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黑体_GBK" w:hAnsi="方正黑体_GBK" w:eastAsia="方正黑体_GBK" w:cs="方正黑体_GBK"/>
          <w:b/>
          <w:color w:val="000000"/>
          <w:sz w:val="32"/>
          <w:szCs w:val="32"/>
        </w:rPr>
      </w:pPr>
      <w:r>
        <w:rPr>
          <w:rFonts w:hint="eastAsia" w:ascii="方正黑体_GBK" w:hAnsi="方正黑体_GBK" w:eastAsia="方正黑体_GBK" w:cs="方正黑体_GBK"/>
          <w:b/>
          <w:color w:val="000000"/>
          <w:sz w:val="32"/>
          <w:szCs w:val="32"/>
          <w:lang w:val="en-US" w:eastAsia="zh-CN"/>
        </w:rPr>
        <w:t>六、</w:t>
      </w:r>
      <w:r>
        <w:rPr>
          <w:rFonts w:hint="eastAsia" w:ascii="方正黑体_GBK" w:hAnsi="方正黑体_GBK" w:eastAsia="方正黑体_GBK" w:cs="方正黑体_GBK"/>
          <w:b/>
          <w:color w:val="000000"/>
          <w:sz w:val="32"/>
          <w:szCs w:val="32"/>
        </w:rPr>
        <w:t>绩效自评结果拟应用和公开情况</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（一）对衔接推进乡村振兴补助资金项目、绩效公告公示情况</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按照《国务院办公厅关于印发2022年政务公开工作要点的通知》（国办发【2022】8号）、《新疆维吾尔自治区财政衔接推进乡村振兴补助资金管理办法》（新财规【2021】11号）文件要求：</w:t>
      </w:r>
      <w:r>
        <w:rPr>
          <w:rFonts w:hint="eastAsia" w:ascii="方正仿宋_GBK" w:hAnsi="方正仿宋_GBK" w:eastAsia="方正仿宋_GBK" w:cs="方正仿宋_GBK"/>
          <w:b w:val="0"/>
          <w:bCs w:val="0"/>
          <w:color w:val="000000"/>
          <w:kern w:val="0"/>
          <w:sz w:val="32"/>
          <w:szCs w:val="32"/>
          <w:lang w:val="en-US" w:eastAsia="zh-CN" w:bidi="ar-SA"/>
        </w:rPr>
        <w:t>由叶城县财政局乡村振兴股核对本项目资金及建设内容、由叶城县财政局绩效评价中心于2023年3月20日对项目绩效目标在叶城县人民政府网（http://www.xjyc.gov.cn）进行公开，项目实施前在相关乡镇进行了张榜公开，接受社会监督。</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（二）对绩效自评结果拟应用情况进行说明</w:t>
      </w:r>
    </w:p>
    <w:p>
      <w:pPr>
        <w:pStyle w:val="17"/>
        <w:pageBreakBefore w:val="0"/>
        <w:kinsoku/>
        <w:wordWrap/>
        <w:topLinePunct w:val="0"/>
        <w:autoSpaceDE/>
        <w:autoSpaceDN/>
        <w:bidi w:val="0"/>
        <w:spacing w:line="560" w:lineRule="exact"/>
        <w:ind w:firstLine="640"/>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7"/>
        <w:pageBreakBefore w:val="0"/>
        <w:kinsoku/>
        <w:wordWrap/>
        <w:topLinePunct w:val="0"/>
        <w:autoSpaceDE/>
        <w:autoSpaceDN/>
        <w:bidi w:val="0"/>
        <w:spacing w:line="560" w:lineRule="exact"/>
        <w:ind w:firstLine="640"/>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7"/>
        <w:pageBreakBefore w:val="0"/>
        <w:kinsoku/>
        <w:wordWrap/>
        <w:topLinePunct w:val="0"/>
        <w:autoSpaceDE/>
        <w:autoSpaceDN/>
        <w:bidi w:val="0"/>
        <w:spacing w:line="560" w:lineRule="exact"/>
        <w:ind w:firstLine="640"/>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（三）对二级指标权重(分值)分配情况进行说明，赋权的方法或者原则</w:t>
      </w:r>
    </w:p>
    <w:p>
      <w:pPr>
        <w:pStyle w:val="17"/>
        <w:pageBreakBefore w:val="0"/>
        <w:kinsoku/>
        <w:wordWrap/>
        <w:topLinePunct w:val="0"/>
        <w:autoSpaceDE/>
        <w:autoSpaceDN/>
        <w:bidi w:val="0"/>
        <w:spacing w:line="560" w:lineRule="exact"/>
        <w:ind w:firstLine="640"/>
        <w:rPr>
          <w:rFonts w:hint="eastAsia" w:ascii="方正仿宋_GBK" w:hAnsi="方正仿宋_GBK" w:eastAsia="方正仿宋_GBK" w:cs="方正仿宋_GBK"/>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5"/>
          <w:rFonts w:hint="eastAsia" w:ascii="方正黑体_GBK" w:hAnsi="方正黑体_GBK" w:eastAsia="方正黑体_GBK" w:cs="方正黑体_GBK"/>
          <w:b/>
          <w:bCs w:val="0"/>
          <w:spacing w:val="-4"/>
          <w:sz w:val="32"/>
          <w:szCs w:val="32"/>
        </w:rPr>
      </w:pPr>
      <w:r>
        <w:rPr>
          <w:rStyle w:val="15"/>
          <w:rFonts w:hint="eastAsia" w:ascii="方正黑体_GBK" w:hAnsi="方正黑体_GBK" w:eastAsia="方正黑体_GBK" w:cs="方正黑体_GBK"/>
          <w:b/>
          <w:bCs w:val="0"/>
          <w:spacing w:val="-4"/>
          <w:sz w:val="32"/>
          <w:szCs w:val="32"/>
        </w:rPr>
        <w:t>七、绩效评价工作有关说明</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eastAsia" w:ascii="方正仿宋_GB2312" w:hAnsi="方正仿宋_GB2312" w:eastAsia="方正仿宋_GB2312" w:cs="方正仿宋_GB2312"/>
        </w:rPr>
      </w:pPr>
      <w:r>
        <w:rPr>
          <w:rFonts w:hint="eastAsia" w:ascii="方正仿宋_GBK" w:hAnsi="方正仿宋_GBK" w:eastAsia="方正仿宋_GBK" w:cs="方正仿宋_GBK"/>
          <w:spacing w:val="-4"/>
          <w:sz w:val="32"/>
          <w:szCs w:val="32"/>
        </w:rPr>
        <w:t>单位成立了项目绩效评价工作小组，项目组长为</w:t>
      </w:r>
      <w:r>
        <w:rPr>
          <w:rFonts w:hint="eastAsia" w:ascii="方正仿宋_GBK" w:hAnsi="方正仿宋_GBK" w:eastAsia="方正仿宋_GBK" w:cs="方正仿宋_GBK"/>
          <w:spacing w:val="-4"/>
          <w:sz w:val="32"/>
          <w:szCs w:val="32"/>
          <w:lang w:val="en-US" w:eastAsia="zh-CN"/>
        </w:rPr>
        <w:t>鲜斌</w:t>
      </w:r>
      <w:r>
        <w:rPr>
          <w:rFonts w:hint="eastAsia" w:ascii="方正仿宋_GBK" w:hAnsi="方正仿宋_GBK" w:eastAsia="方正仿宋_GBK" w:cs="方正仿宋_GBK"/>
          <w:spacing w:val="-4"/>
          <w:sz w:val="32"/>
          <w:szCs w:val="32"/>
        </w:rPr>
        <w:t>，主要负责制定项目评价方案。项目成员为</w:t>
      </w:r>
      <w:r>
        <w:rPr>
          <w:rFonts w:hint="eastAsia" w:ascii="方正仿宋_GBK" w:hAnsi="方正仿宋_GBK" w:eastAsia="方正仿宋_GBK" w:cs="方正仿宋_GBK"/>
          <w:spacing w:val="-4"/>
          <w:sz w:val="32"/>
          <w:szCs w:val="32"/>
          <w:lang w:val="en-US" w:eastAsia="zh-CN"/>
        </w:rPr>
        <w:t>杨宏磊</w:t>
      </w:r>
      <w:r>
        <w:rPr>
          <w:rFonts w:hint="eastAsia" w:ascii="方正仿宋_GBK" w:hAnsi="方正仿宋_GBK" w:eastAsia="方正仿宋_GBK" w:cs="方正仿宋_GBK"/>
          <w:spacing w:val="-4"/>
          <w:sz w:val="32"/>
          <w:szCs w:val="32"/>
        </w:rPr>
        <w:t>，主要负责收集核查项目资料、现场实地调查资料、绩效的监控情况资料、最终形成自评报告的初稿。</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2312" w:hAnsi="方正仿宋_GB2312" w:eastAsia="方正仿宋_GB2312" w:cs="方正仿宋_GB2312"/>
          <w:color w:val="000000"/>
          <w:kern w:val="2"/>
          <w:sz w:val="32"/>
          <w:szCs w:val="32"/>
          <w:lang w:val="en-US" w:eastAsia="zh-CN" w:bidi="ar-SA"/>
        </w:rPr>
      </w:pPr>
    </w:p>
    <w:p>
      <w:pPr>
        <w:pStyle w:val="2"/>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rPr>
          <w:rFonts w:hint="eastAsia" w:ascii="方正仿宋_GB2312" w:hAnsi="方正仿宋_GB2312" w:eastAsia="方正仿宋_GB2312" w:cs="方正仿宋_GB231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 w:name="方正小标宋_GBK">
    <w:panose1 w:val="03000509000000000000"/>
    <w:charset w:val="86"/>
    <w:family w:val="auto"/>
    <w:pitch w:val="default"/>
    <w:sig w:usb0="00000001" w:usb1="080E0000" w:usb2="00000000" w:usb3="00000000" w:csb0="00040000" w:csb1="00000000"/>
    <w:embedRegular r:id="rId1" w:fontKey="{4DA23B75-FAC3-41C3-B76D-FDAB657831DC}"/>
  </w:font>
  <w:font w:name="方正仿宋_GB2312">
    <w:altName w:val="仿宋"/>
    <w:panose1 w:val="02000000000000000000"/>
    <w:charset w:val="86"/>
    <w:family w:val="auto"/>
    <w:pitch w:val="default"/>
    <w:sig w:usb0="00000000" w:usb1="00000000" w:usb2="00000012" w:usb3="00000000" w:csb0="00040001" w:csb1="00000000"/>
    <w:embedRegular r:id="rId2" w:fontKey="{3762A628-9F9F-4B63-9D5C-F4AAB16929EB}"/>
  </w:font>
  <w:font w:name="方正黑体_GBK">
    <w:panose1 w:val="02000000000000000000"/>
    <w:charset w:val="86"/>
    <w:family w:val="auto"/>
    <w:pitch w:val="default"/>
    <w:sig w:usb0="00000000" w:usb1="00000000" w:usb2="00000000" w:usb3="00000000" w:csb0="00000000" w:csb1="00000000"/>
    <w:embedRegular r:id="rId3" w:fontKey="{13139BF9-C16E-47FF-852D-C7D589570483}"/>
  </w:font>
  <w:font w:name="方正楷体_GBK">
    <w:panose1 w:val="02000000000000000000"/>
    <w:charset w:val="86"/>
    <w:family w:val="auto"/>
    <w:pitch w:val="default"/>
    <w:sig w:usb0="00000000" w:usb1="00000000" w:usb2="00000000" w:usb3="00000000" w:csb0="00000000" w:csb1="00000000"/>
    <w:embedRegular r:id="rId4" w:fontKey="{2E5A4DCA-AF3C-4AA8-912D-76029817715D}"/>
  </w:font>
  <w:font w:name="方正仿宋_GBK">
    <w:panose1 w:val="03000509000000000000"/>
    <w:charset w:val="86"/>
    <w:family w:val="auto"/>
    <w:pitch w:val="default"/>
    <w:sig w:usb0="00000001" w:usb1="080E0000" w:usb2="00000000" w:usb3="00000000" w:csb0="00040000" w:csb1="00000000"/>
    <w:embedRegular r:id="rId5" w:fontKey="{55CF0BB6-262D-4DE0-8EBD-C39875A6608F}"/>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90F69C"/>
    <w:multiLevelType w:val="singleLevel"/>
    <w:tmpl w:val="8D90F69C"/>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mYzg5ZGE4OTIxMGYyNjM1MjBmMTcyNGNkODlhZmMifQ=="/>
  </w:docVars>
  <w:rsids>
    <w:rsidRoot w:val="00F20A26"/>
    <w:rsid w:val="003E0379"/>
    <w:rsid w:val="0055176E"/>
    <w:rsid w:val="00F20A26"/>
    <w:rsid w:val="059A592B"/>
    <w:rsid w:val="08EC01DC"/>
    <w:rsid w:val="09A80A14"/>
    <w:rsid w:val="129064AA"/>
    <w:rsid w:val="12A245A9"/>
    <w:rsid w:val="12C23280"/>
    <w:rsid w:val="13575235"/>
    <w:rsid w:val="142C0185"/>
    <w:rsid w:val="14653122"/>
    <w:rsid w:val="15C10B6C"/>
    <w:rsid w:val="17F82735"/>
    <w:rsid w:val="187A025D"/>
    <w:rsid w:val="1937751C"/>
    <w:rsid w:val="1ABF7AF2"/>
    <w:rsid w:val="1B4D6D35"/>
    <w:rsid w:val="1F04791D"/>
    <w:rsid w:val="1FA03468"/>
    <w:rsid w:val="20183F4F"/>
    <w:rsid w:val="22084AEF"/>
    <w:rsid w:val="22E936F1"/>
    <w:rsid w:val="282C0C95"/>
    <w:rsid w:val="28E1079A"/>
    <w:rsid w:val="29EC0C5C"/>
    <w:rsid w:val="2A0C4A0C"/>
    <w:rsid w:val="2B1E4C6A"/>
    <w:rsid w:val="2D5F13D7"/>
    <w:rsid w:val="2E51749D"/>
    <w:rsid w:val="2F1C220F"/>
    <w:rsid w:val="306C7072"/>
    <w:rsid w:val="31A02A0C"/>
    <w:rsid w:val="31AE0AA6"/>
    <w:rsid w:val="341A2D88"/>
    <w:rsid w:val="34762022"/>
    <w:rsid w:val="3857583B"/>
    <w:rsid w:val="386D751C"/>
    <w:rsid w:val="3A667D78"/>
    <w:rsid w:val="3F8B1DC8"/>
    <w:rsid w:val="3FA1009D"/>
    <w:rsid w:val="41871287"/>
    <w:rsid w:val="464D7858"/>
    <w:rsid w:val="47207E1C"/>
    <w:rsid w:val="4BA819CC"/>
    <w:rsid w:val="4CE1086F"/>
    <w:rsid w:val="543071D9"/>
    <w:rsid w:val="54575230"/>
    <w:rsid w:val="55DA66E7"/>
    <w:rsid w:val="5C2B4437"/>
    <w:rsid w:val="5C962BD6"/>
    <w:rsid w:val="5CEF0BA5"/>
    <w:rsid w:val="5ED76E2E"/>
    <w:rsid w:val="614F4951"/>
    <w:rsid w:val="647906B5"/>
    <w:rsid w:val="651A36AB"/>
    <w:rsid w:val="655D3BD2"/>
    <w:rsid w:val="693C44A3"/>
    <w:rsid w:val="6AC53C59"/>
    <w:rsid w:val="6B512325"/>
    <w:rsid w:val="6DCC00CE"/>
    <w:rsid w:val="6E755ABD"/>
    <w:rsid w:val="6FD808A4"/>
    <w:rsid w:val="71A83BF0"/>
    <w:rsid w:val="72734A09"/>
    <w:rsid w:val="763E56CC"/>
    <w:rsid w:val="76460B43"/>
    <w:rsid w:val="7730731A"/>
    <w:rsid w:val="7801490B"/>
    <w:rsid w:val="787768D5"/>
    <w:rsid w:val="7B580975"/>
    <w:rsid w:val="7DCC0473"/>
    <w:rsid w:val="7E984E50"/>
    <w:rsid w:val="7F7053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2"/>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5">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6">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0"/>
    <w:pPr>
      <w:ind w:firstLine="420"/>
    </w:pPr>
  </w:style>
  <w:style w:type="paragraph" w:styleId="3">
    <w:name w:val="Body Text Indent"/>
    <w:basedOn w:val="1"/>
    <w:next w:val="1"/>
    <w:unhideWhenUsed/>
    <w:qFormat/>
    <w:uiPriority w:val="99"/>
    <w:pPr>
      <w:spacing w:after="120"/>
      <w:ind w:left="420" w:leftChars="200"/>
    </w:pPr>
    <w:rPr>
      <w:rFonts w:cs="Times New Roman"/>
      <w:kern w:val="0"/>
      <w:szCs w:val="20"/>
    </w:rPr>
  </w:style>
  <w:style w:type="paragraph" w:styleId="7">
    <w:name w:val="annotation text"/>
    <w:basedOn w:val="1"/>
    <w:unhideWhenUsed/>
    <w:qFormat/>
    <w:uiPriority w:val="99"/>
    <w:rPr>
      <w:rFonts w:cs="Times New Roman"/>
      <w:kern w:val="0"/>
      <w:sz w:val="20"/>
      <w:szCs w:val="20"/>
    </w:rPr>
  </w:style>
  <w:style w:type="paragraph" w:styleId="8">
    <w:name w:val="Body Text"/>
    <w:basedOn w:val="1"/>
    <w:qFormat/>
    <w:uiPriority w:val="0"/>
    <w:pPr>
      <w:spacing w:before="240" w:after="240" w:line="360" w:lineRule="auto"/>
      <w:jc w:val="center"/>
    </w:pPr>
    <w:rPr>
      <w:b/>
      <w:sz w:val="44"/>
    </w:rPr>
  </w:style>
  <w:style w:type="paragraph" w:styleId="9">
    <w:name w:val="Plain Text"/>
    <w:basedOn w:val="1"/>
    <w:semiHidden/>
    <w:unhideWhenUsed/>
    <w:qFormat/>
    <w:uiPriority w:val="99"/>
    <w:rPr>
      <w:rFonts w:ascii="宋体" w:hAnsi="Courier New"/>
    </w:rPr>
  </w:style>
  <w:style w:type="paragraph" w:styleId="10">
    <w:name w:val="Body Text Indent 2"/>
    <w:basedOn w:val="1"/>
    <w:qFormat/>
    <w:uiPriority w:val="0"/>
    <w:pPr>
      <w:ind w:firstLine="280"/>
    </w:pPr>
    <w:rPr>
      <w:rFonts w:ascii="仿宋_GB2312" w:hAnsi="仿宋_GB2312" w:eastAsia="仿宋_GB2312"/>
      <w:kern w:val="1"/>
      <w:sz w:val="28"/>
    </w:rPr>
  </w:style>
  <w:style w:type="paragraph" w:styleId="11">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2">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5">
    <w:name w:val="Strong"/>
    <w:basedOn w:val="14"/>
    <w:qFormat/>
    <w:uiPriority w:val="0"/>
    <w:rPr>
      <w:b/>
      <w:bCs/>
    </w:rPr>
  </w:style>
  <w:style w:type="paragraph" w:customStyle="1" w:styleId="16">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7">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8">
    <w:name w:val="闻政-正文二级标题"/>
    <w:basedOn w:val="5"/>
    <w:next w:val="17"/>
    <w:qFormat/>
    <w:uiPriority w:val="3"/>
    <w:pPr>
      <w:spacing w:before="120" w:after="60" w:line="500" w:lineRule="exact"/>
      <w:ind w:left="200" w:leftChars="200" w:firstLine="0" w:firstLineChars="0"/>
    </w:pPr>
    <w:rPr>
      <w:rFonts w:ascii="Times New Roman" w:hAnsi="Times New Roman"/>
      <w:sz w:val="28"/>
    </w:rPr>
  </w:style>
  <w:style w:type="paragraph" w:customStyle="1" w:styleId="19">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2019-10-08T05:02:00Z</dcterms:created>
  <dc:creator>姜波</dc:creator>
  <cp:lastModifiedBy>Administrator</cp:lastModifiedBy>
  <dcterms:modified xsi:type="dcterms:W3CDTF">2025-02-08T05:26:28Z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175382F519A14AF7B59CB627F3A1743B_12</vt:lpwstr>
  </property>
</Properties>
</file>