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rPr>
          <w:kern w:val="0"/>
          <w:sz w:val="30"/>
          <w:szCs w:val="30"/>
        </w:rPr>
      </w:pPr>
    </w:p>
    <w:p>
      <w:pPr>
        <w:spacing w:line="540" w:lineRule="exact"/>
        <w:rPr>
          <w:rFonts w:hAnsi="宋体" w:cs="宋体"/>
          <w:kern w:val="0"/>
          <w:szCs w:val="30"/>
        </w:rPr>
      </w:pPr>
    </w:p>
    <w:p>
      <w:pPr>
        <w:spacing w:line="700" w:lineRule="exact"/>
        <w:ind w:firstLine="900" w:firstLineChars="25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项目名称：村运转费用项目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实施单位（公章）：铁提乡人民政府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主管部门（公章）：铁提乡人民政府</w:t>
      </w:r>
      <w:bookmarkStart w:id="1" w:name="_GoBack"/>
      <w:bookmarkEnd w:id="1"/>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项目负责人（签章）：罗正奎</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填报时间：2018年12月25日</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叶城县铁提乡属机关行政部门，乡科级行政单位，辖12个行政村，46个村民小组，以维吾尔族为主，主要种植小麦、玉米、棉花等设施农业。</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1、人员情况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行政编制53人，其中：政府编制51人，工勤编制2人，共计53人。事业编制为31人，参照编制1人,全额事业编制共计25人, 自收自支编制5人。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行政在职46人，与2017年决算人数53人少 7人，其原因是人员调出；事业在职57人，与2017年决算49人多8人，其原因是新招录事业编人员。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主要职能：负责全乡党政行政管理事务。以贯彻落实党的十九大精神和科学发展观为指导,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铁提乡人民政府村运转费用项目支出205.96万元，按照乡党委的安排部署，并且严格按照会计制度的要求支出，达到使各村各项工作正常运转的效果。</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铁提乡人民政府村运转费用项目为行政单位项目支出。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铁提乡人民政府村运转费用项目资金主要用于各村日常用电、用水以及办公耗材方面。</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铁提乡人民政府村运转费用项目预算安排总额为205.96万元，其中财政资金205.96万元，自筹资金0万元，2018年实际收到预算资金205.96万元。</w:t>
      </w:r>
      <w:r>
        <w:rPr>
          <w:rFonts w:hint="eastAsia" w:ascii="仿宋_GB2312" w:hAnsi="仿宋_GB2312" w:eastAsia="仿宋_GB2312" w:cs="仿宋_GB2312"/>
          <w:bCs/>
          <w:spacing w:val="-4"/>
          <w:sz w:val="32"/>
          <w:szCs w:val="32"/>
        </w:rPr>
        <w:t>资金到位率100%。</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铁提乡人民政府村运转费用项目实际支付资金205.96万元，预算执行率100%，项目资金主要用于群众工作和支付各村的日常办公用品，保证各村群众工作的正常开展。</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村运转费用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铁提乡人民政府村运转费用项目属于经常性零星项目,没有达到招投标限额,由本单位自行组织实施。实施过程均按照本单位制定的管理制度执行。本项目不存在调整情况。本项目不存在检查验收程序。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铁提乡人民政府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四、项目绩效情况</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本项目共设置一级指标3个，二级指标9个，三级指标9个，其中已完成三级指标9个，指标完成率为100%。根据年初设定的绩效目标，此项目自评得分为93分。</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adjustRightInd w:val="0"/>
        <w:snapToGrid w:val="0"/>
        <w:spacing w:line="560" w:lineRule="exact"/>
        <w:ind w:firstLine="640"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z w:val="32"/>
          <w:szCs w:val="32"/>
        </w:rPr>
        <w:t>铁提乡下辖12个行政村，46个村民小组，</w:t>
      </w:r>
      <w:r>
        <w:rPr>
          <w:rFonts w:hint="eastAsia" w:ascii="仿宋_GB2312" w:hAnsi="仿宋_GB2312" w:eastAsia="仿宋_GB2312" w:cs="仿宋_GB2312"/>
          <w:bCs/>
          <w:color w:val="000000" w:themeColor="text1"/>
          <w:spacing w:val="-4"/>
          <w:sz w:val="32"/>
          <w:szCs w:val="32"/>
        </w:rPr>
        <w:t>村运转费用项目资金保障人数20596人。</w:t>
      </w:r>
      <w:r>
        <w:rPr>
          <w:rStyle w:val="6"/>
          <w:rFonts w:hint="eastAsia" w:ascii="仿宋_GB2312" w:hAnsi="仿宋_GB2312" w:eastAsia="仿宋_GB2312" w:cs="仿宋_GB2312"/>
          <w:b w:val="0"/>
          <w:spacing w:val="-4"/>
          <w:sz w:val="32"/>
          <w:szCs w:val="32"/>
        </w:rPr>
        <w:t>截至2018年年度自评评价时，该项目年初设定预期目标已全部完成，完成率100%。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2018年拨付第一季度至第四季度运转费用共计205.96万元，费用保障率达100%。</w:t>
      </w:r>
      <w:r>
        <w:rPr>
          <w:rStyle w:val="6"/>
          <w:rFonts w:hint="eastAsia" w:ascii="仿宋_GB2312" w:hAnsi="仿宋_GB2312" w:eastAsia="仿宋_GB2312" w:cs="仿宋_GB2312"/>
          <w:b w:val="0"/>
          <w:spacing w:val="-4"/>
          <w:sz w:val="32"/>
          <w:szCs w:val="32"/>
        </w:rPr>
        <w:t>本单位在项目执行过程中，严格把关质量要求，项目完成结果显示，该项目完成质量良好。</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根据2018年1-4季度的村运转费用拨付情况，费用保障及时率100%,按各村运转费用使用情况按时拨付，确保12个行政村后勤及各项工作正常开展,截至2018年12月该项目资金执行率达100%。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村级运转费用项目人均费用100元/人，确保群众工作有效开展，提升群众凝聚力，夯实基层基础。</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bCs/>
          <w:color w:val="000000" w:themeColor="text1"/>
          <w:spacing w:val="-4"/>
          <w:sz w:val="32"/>
          <w:szCs w:val="32"/>
        </w:rPr>
        <w:t>对于群众提出的所急所盼所困的问题，铁提乡党委积极协调解决，解决群众困难问题及诉求率达95%。　</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不断提升提高为民服务办事效率，不断加强基层、夯实基层，确保群众工作顺利开展。</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通过该项目的实施，有效提升村两委的职能，确保各项后勤开支，节能降耗达10%。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铁提乡2018年1-4季度的村运转费用共计205.96万元，该项目资金保障年限为1年。</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按计划完成项目实施，已做满意度调查问卷，群众满意率98%，服务对象满意度指标完成。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铁提乡人民政府村运转费用项目中，顺利完成支出任务，在下一年度工作中，继续压缩费用，严格执行各项支出。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1、主要经验及做法：铁提乡人民政府在2018年村运转费用项目中，严把支出关，确保了村运转费用用在关键地方，有效地杜绝了挤占挪用、虚报冒领等套取财政资金违规行为。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铁提村级各项支出的使用效率和效果，资金管理过程是否规范，是否完成了预期绩效目标等。同时，通过开展自我评价来总结经验和教训，为顺利持续实施喀什地区叶城县铁提乡村级运转费用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《项目支出绩效目标自评表》</w:t>
      </w:r>
    </w:p>
    <w:p>
      <w:pPr>
        <w:spacing w:line="560" w:lineRule="exact"/>
        <w:ind w:firstLine="567"/>
        <w:rPr>
          <w:rStyle w:val="6"/>
          <w:rFonts w:ascii="仿宋_GB2312" w:hAnsi="仿宋_GB2312" w:eastAsia="仿宋_GB2312" w:cs="仿宋_GB2312"/>
          <w:b w:val="0"/>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宋体"/>
    <w:panose1 w:val="00000000000000000000"/>
    <w:charset w:val="7A"/>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281984"/>
    <w:rsid w:val="00450C10"/>
    <w:rsid w:val="0057163E"/>
    <w:rsid w:val="03B32451"/>
    <w:rsid w:val="05B201F3"/>
    <w:rsid w:val="078E2C12"/>
    <w:rsid w:val="082A0F47"/>
    <w:rsid w:val="084A7821"/>
    <w:rsid w:val="089E0709"/>
    <w:rsid w:val="0DB6186B"/>
    <w:rsid w:val="12257E38"/>
    <w:rsid w:val="1E8548FE"/>
    <w:rsid w:val="217571E2"/>
    <w:rsid w:val="29077BE3"/>
    <w:rsid w:val="2B6E11BF"/>
    <w:rsid w:val="2EC74EE2"/>
    <w:rsid w:val="2EDD2E87"/>
    <w:rsid w:val="2F4B2A3D"/>
    <w:rsid w:val="34FE15B3"/>
    <w:rsid w:val="3B001E2F"/>
    <w:rsid w:val="435A2206"/>
    <w:rsid w:val="44E23E6D"/>
    <w:rsid w:val="45B12322"/>
    <w:rsid w:val="46DA362C"/>
    <w:rsid w:val="4BC95391"/>
    <w:rsid w:val="4D827567"/>
    <w:rsid w:val="510757D6"/>
    <w:rsid w:val="51451436"/>
    <w:rsid w:val="52223455"/>
    <w:rsid w:val="52C65FF1"/>
    <w:rsid w:val="54986F0A"/>
    <w:rsid w:val="562846FB"/>
    <w:rsid w:val="59F4590F"/>
    <w:rsid w:val="5E0346E4"/>
    <w:rsid w:val="61801972"/>
    <w:rsid w:val="65876FB5"/>
    <w:rsid w:val="6F503607"/>
    <w:rsid w:val="72532D50"/>
    <w:rsid w:val="76122FE3"/>
    <w:rsid w:val="7A34685F"/>
    <w:rsid w:val="7BD9369D"/>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Normal (Web)"/>
    <w:basedOn w:val="1"/>
    <w:qFormat/>
    <w:uiPriority w:val="0"/>
    <w:pPr>
      <w:widowControl/>
      <w:spacing w:before="100" w:beforeAutospacing="1" w:after="240"/>
      <w:jc w:val="left"/>
    </w:pPr>
    <w:rPr>
      <w:rFonts w:ascii="宋体" w:hAnsi="宋体" w:cs="宋体"/>
      <w:kern w:val="0"/>
      <w:sz w:val="24"/>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372</Words>
  <Characters>2126</Characters>
  <Lines>17</Lines>
  <Paragraphs>4</Paragraphs>
  <TotalTime>0</TotalTime>
  <ScaleCrop>false</ScaleCrop>
  <LinksUpToDate>false</LinksUpToDate>
  <CharactersWithSpaces>2494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2021-07-12T15:19:16Z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