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项目名称：</w:t>
      </w:r>
      <w:r>
        <w:rPr>
          <w:rFonts w:hint="eastAsia" w:hAnsi="宋体" w:eastAsia="仿宋_GB2312" w:cs="宋体"/>
          <w:kern w:val="0"/>
          <w:sz w:val="32"/>
          <w:szCs w:val="32"/>
        </w:rPr>
        <w:t>村级运转经费项目</w:t>
      </w:r>
    </w:p>
    <w:p>
      <w:pPr>
        <w:spacing w:line="700" w:lineRule="exact"/>
        <w:jc w:val="left"/>
        <w:rPr>
          <w:rFonts w:hAnsi="宋体" w:eastAsia="仿宋_GB2312" w:cs="宋体"/>
          <w:kern w:val="0"/>
          <w:sz w:val="32"/>
          <w:szCs w:val="32"/>
        </w:rPr>
      </w:pPr>
      <w:r>
        <w:rPr>
          <w:rFonts w:hint="eastAsia" w:hAnsi="宋体" w:eastAsia="仿宋_GB2312" w:cs="宋体"/>
          <w:kern w:val="0"/>
          <w:sz w:val="36"/>
          <w:szCs w:val="36"/>
        </w:rPr>
        <w:t xml:space="preserve">     实施单位（公章）:</w:t>
      </w:r>
      <w:r>
        <w:rPr>
          <w:rFonts w:hint="eastAsia" w:hAnsi="宋体" w:eastAsia="仿宋_GB2312" w:cs="宋体"/>
          <w:kern w:val="0"/>
          <w:sz w:val="32"/>
          <w:szCs w:val="32"/>
        </w:rPr>
        <w:t>叶城县西城区片区管理委员会</w:t>
      </w:r>
    </w:p>
    <w:p>
      <w:pPr>
        <w:spacing w:line="700" w:lineRule="exact"/>
        <w:ind w:firstLine="900" w:firstLineChars="250"/>
        <w:jc w:val="left"/>
        <w:rPr>
          <w:rFonts w:hAnsi="宋体" w:eastAsia="仿宋_GB2312" w:cs="宋体"/>
          <w:kern w:val="0"/>
          <w:sz w:val="32"/>
          <w:szCs w:val="32"/>
        </w:rPr>
      </w:pPr>
      <w:r>
        <w:rPr>
          <w:rFonts w:hint="eastAsia" w:hAnsi="宋体" w:eastAsia="仿宋_GB2312" w:cs="宋体"/>
          <w:kern w:val="0"/>
          <w:sz w:val="36"/>
          <w:szCs w:val="36"/>
        </w:rPr>
        <w:t>主管部门（公章）:</w:t>
      </w:r>
      <w:r>
        <w:rPr>
          <w:rFonts w:hint="eastAsia" w:hAnsi="宋体" w:eastAsia="仿宋_GB2312" w:cs="宋体"/>
          <w:kern w:val="0"/>
          <w:sz w:val="32"/>
          <w:szCs w:val="32"/>
        </w:rPr>
        <w:t xml:space="preserve"> 叶城县西城区片区管理委员会</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项目负责人（签章）：彭继泉</w:t>
      </w:r>
    </w:p>
    <w:p>
      <w:pPr>
        <w:spacing w:line="700" w:lineRule="exact"/>
        <w:ind w:firstLine="850" w:firstLineChars="236"/>
        <w:jc w:val="left"/>
        <w:rPr>
          <w:rFonts w:hAnsi="宋体" w:eastAsia="仿宋_GB2312" w:cs="宋体"/>
          <w:kern w:val="0"/>
          <w:sz w:val="36"/>
          <w:szCs w:val="36"/>
        </w:rPr>
      </w:pPr>
      <w:r>
        <w:rPr>
          <w:rFonts w:hint="eastAsia" w:hAnsi="宋体" w:eastAsia="仿宋_GB2312" w:cs="宋体"/>
          <w:kern w:val="0"/>
          <w:sz w:val="36"/>
          <w:szCs w:val="36"/>
        </w:rPr>
        <w:t>填报时间： 2018 年 12 月 25 日</w:t>
      </w:r>
    </w:p>
    <w:p>
      <w:pPr>
        <w:spacing w:line="540" w:lineRule="exact"/>
        <w:jc w:val="center"/>
        <w:rPr>
          <w:rFonts w:hAnsi="宋体" w:eastAsia="仿宋_GB2312" w:cs="宋体"/>
          <w:kern w:val="0"/>
          <w:sz w:val="30"/>
          <w:szCs w:val="30"/>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b/>
          <w:bCs w:val="0"/>
          <w:sz w:val="32"/>
          <w:szCs w:val="32"/>
        </w:rPr>
      </w:pPr>
      <w:bookmarkStart w:id="0" w:name="_GoBack"/>
      <w:r>
        <w:rPr>
          <w:rFonts w:hint="eastAsia" w:ascii="黑体" w:hAnsi="黑体" w:eastAsia="黑体" w:cs="黑体"/>
          <w:b/>
          <w:bCs w:val="0"/>
          <w:sz w:val="32"/>
          <w:szCs w:val="32"/>
        </w:rPr>
        <w:t>一、项目概况</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（一）项目单位基本情况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 w:hAnsi="仿宋" w:eastAsia="仿宋"/>
          <w:sz w:val="30"/>
        </w:rPr>
      </w:pPr>
      <w:r>
        <w:rPr>
          <w:rFonts w:hint="eastAsia" w:ascii="仿宋_GB2312" w:hAnsi="仿宋_GB2312" w:eastAsia="仿宋_GB2312" w:cs="仿宋_GB2312"/>
          <w:sz w:val="32"/>
          <w:szCs w:val="32"/>
        </w:rPr>
        <w:t>叶城县西城区片区管理委员会为正科级行政单位，地址：叶城县公园路01院，现与社区合署办公，下设党建办公室、经济办公室、财务室、民政低保办公室4个办公室室。2018年底，西城区行政编制19人，实有27人；工勤编制0人，实有2人。西城区参照实有人数22人，全额事业编实有38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（二）项目预算绩效目标设定情况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1、项目预期目标及阶段性目标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西城区片区管理委员会2018年村级运转经费项目资金154.5万元，用于确保村级组织正常运转，办事有经费、服务群众有保障，按照年度预算，此项资金按时发放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2、项目基本性质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西城区片区管理委员会项目性质为延续性项目。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3、项目主要用途、范围以及主要内容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 w:hAnsi="仿宋" w:eastAsia="仿宋"/>
          <w:b/>
          <w:bCs/>
          <w:spacing w:val="-4"/>
          <w:sz w:val="32"/>
          <w:szCs w:val="32"/>
        </w:rPr>
      </w:pPr>
      <w:r>
        <w:rPr>
          <w:rFonts w:hint="eastAsia" w:ascii="仿宋_GB2312" w:hAnsi="仿宋_GB2312" w:eastAsia="仿宋_GB2312" w:cs="仿宋_GB2312"/>
          <w:sz w:val="32"/>
          <w:szCs w:val="32"/>
        </w:rPr>
        <w:t>西城区2018年村级运转经费主要用于社区办公、服务群众、维护等方面的开支，涉及西城区9个社区。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（一）项目资金安排落实、总投入等情况分析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根据上级文件要求，本项目资金154.5万元，其中财政资金154.5万元，其他资金0万元，资金到位154.5万元；资金到位率100%。项目全部用于支付各社区村级运转经费154.5万元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（二）项目资金实际使用情况分析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根据本年上级下达2018年村级运转经费项目资金的文件，到位资金154.5万元，本项目实际支付资金154.5万元，预算执行率100%。项目资金主要用于支付各社区村级运转经费154.5万元，结余0万元。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根据中央和自治区项目资金管理办法的要求，叶城县西城区片区管理委员会严格按照项目资金规定的专项资金支持的项目条件和范围要求，严格按照有关规定使用管理项目资金。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（三）项目资金管理情况分析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资金严格按照村级运转经费项目资金管理办法和地区财政资金管理制度支付资金；资金支付由本单位分管地区领导、主管财务领导、地区财政局等各级部门审批审核；资金的支付有完整的审批程序和手续符合制度要求；不存在截留、挤占、挪用、虚列支出等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（一）项目组织情况分析</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保证项目质量和成本控制，我单位积极与上级部门对接，进行了村级运转经费项目前期考察工作，制定《村级运转经费项目前期考察工作方案》，组织乡财政所、纪检委进行实地考察工作，为保质保量完成提供了强有力的技术支撑，有效地推进了项目工作，项目实施完成后，由本项目相关人员于2018年12月25日完成检查验收，检查验收合格后按合同规定支付款项。</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本项目不存在调整情况。</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（二）项目管理情况分析</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实施过程中，我单位建立了《村级运转经费项目资金执行制度》保障项目的顺利实施。项目的实施遵守相关法律法规和业务管理规定，项目资料齐全并及时装订、归档。已建立《村级运转经费项目资金管理制度》，不定期对项目进度情况进行督导检查，对检查过程中发现的问题及时督促整改，确保了项目按时保质完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Style w:val="18"/>
          <w:rFonts w:ascii="黑体" w:hAnsi="黑体" w:eastAsia="黑体"/>
        </w:rPr>
      </w:pPr>
      <w:r>
        <w:rPr>
          <w:rStyle w:val="18"/>
          <w:rFonts w:hint="eastAsia" w:ascii="黑体" w:hAnsi="黑体" w:eastAsia="黑体"/>
          <w:b w:val="0"/>
          <w:spacing w:val="-4"/>
          <w:sz w:val="32"/>
          <w:szCs w:val="32"/>
        </w:rPr>
        <w:t>四、项目绩效情况</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（一）项目绩效目标完成情况分析</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本项目共设置一级指标3个，二级指标8个，三级指标8个，其中已完成三级指标8个，指标完成率为100%。根据年初设定的绩效目标，此项目自评得分为92分。</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（1）项目完成数量</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三级指标中数量指标1个，即：村级运转经费拨付社区9个，已全部执行，完成率100%。</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（2）项目完成质量</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三级指标中质量指标1个，即：资金发放覆盖率100%，已全部覆盖，完成率100%。</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（3）项目实施进度</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三级指标中时效指标1个，即：资金拨付及时率100%，已全部及时发放，完成率100%。</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（4）项目成本节约情况</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三级指标中成本指标1个，即：村级运转经费平均村（社区）年标准（万元/社区/年）17.17元，已全部按预算成本发放，无成本节约情况。</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（1）项目实施的经济效益分析</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通过本年度村级运转经费项目资金的实施，持续增加了群众生活质量。</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（2）项目实施的社会效益分析</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通过本年度村级运转经费项目资金的实施，有效提高了为民办事效率。</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（3）项目实施的生态效益分析</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本项目为村级运转经费项目，未产生生态效益。</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（4）项目实施的可持续影响分析</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通过本年度村级运转经费项目资金的实施，可持续影响时间为1年。</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按计划完成项目实施，已做满意度调查问卷，群众满意率达99%，服务对象满意度指标完成。</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（二）项目绩效目标未完成原因分析</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2019年本项目绩效目标全部达成，不存在未完成原因分析。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（一）后续工作计划</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叶城县西城区片区管理委员会村级运转经费项目在完成本年度预算执行的基础上，将继续严格2019年本门预算编制工作，在下一年度工作中，严格按照年初预算执行项目资金支出。</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（二）主要经验及做法、存在问题和建议</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主要经验及做法</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存在的问题</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通过预算绩效管理，发现了工作中存在的不足，如前期资金使用因人员身份识别不精准等原因未按期支付，导致了资金滞缓，影响了项目的进度，造成了部分资金的浪费。</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建议</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年初做好资金计划，按照项目进度及时拨付资金，使资金使用效益最大化，减少不必要的浪费，节约成本。</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（三）其他</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无其他说明内容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评价通过文件研读、实地调研、数据分析等方式，全面了解村级运转经费项目资金的使用效率和效果，项目管理过程是否规范，是否完成了预期绩效目标等。同时，通过开展自我评价来总结经验和教训，为叶城县西城区片区管理委员会村级运转经费项目今后的开展提供参考建议。</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包括评价基础数据收集、资料来源和依据等佐证材料情况，项目现场勘验检查核实等情况。</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Fonts w:hint="eastAsia" w:ascii="黑体" w:hAnsi="黑体" w:eastAsia="黑体" w:cs="黑体"/>
          <w:sz w:val="32"/>
          <w:szCs w:val="32"/>
        </w:rPr>
      </w:pPr>
      <w:r>
        <w:rPr>
          <w:rFonts w:hint="eastAsia" w:ascii="黑体" w:hAnsi="黑体" w:eastAsia="黑体" w:cs="黑体"/>
          <w:sz w:val="32"/>
          <w:szCs w:val="32"/>
        </w:rPr>
        <w:t>七、附表</w:t>
      </w:r>
    </w:p>
    <w:p>
      <w:pPr>
        <w:keepNext w:val="0"/>
        <w:keepLines w:val="0"/>
        <w:pageBreakBefore w:val="0"/>
        <w:widowControl w:val="0"/>
        <w:kinsoku/>
        <w:wordWrap/>
        <w:overflowPunct/>
        <w:topLinePunct w:val="0"/>
        <w:autoSpaceDE/>
        <w:autoSpaceDN/>
        <w:bidi w:val="0"/>
        <w:adjustRightInd/>
        <w:snapToGrid/>
        <w:spacing w:line="560" w:lineRule="exact"/>
        <w:ind w:left="-1" w:right="-1" w:firstLine="640" w:firstLineChars="200"/>
        <w:jc w:val="left"/>
        <w:textAlignment w:val="auto"/>
        <w:outlineLvl w:val="9"/>
        <w:rPr>
          <w:rStyle w:val="18"/>
          <w:rFonts w:ascii="仿宋" w:hAnsi="仿宋" w:eastAsia="仿宋"/>
          <w:b w:val="0"/>
          <w:spacing w:val="-4"/>
          <w:sz w:val="32"/>
          <w:szCs w:val="32"/>
        </w:rPr>
      </w:pPr>
      <w:r>
        <w:rPr>
          <w:rFonts w:hint="eastAsia" w:ascii="仿宋_GB2312" w:hAnsi="仿宋_GB2312" w:eastAsia="仿宋_GB2312" w:cs="仿宋_GB2312"/>
          <w:sz w:val="32"/>
          <w:szCs w:val="32"/>
        </w:rPr>
        <w:t>《喀什地区财政项目支出绩效自评表》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Style w:val="18"/>
          <w:rFonts w:ascii="仿宋" w:hAnsi="仿宋" w:eastAsia="仿宋"/>
          <w:b w:val="0"/>
          <w:spacing w:val="-4"/>
          <w:sz w:val="32"/>
          <w:szCs w:val="32"/>
        </w:rPr>
      </w:pPr>
    </w:p>
    <w:bookmarkEnd w:id="0"/>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方正小标宋_GBK">
    <w:altName w:val="宋体"/>
    <w:panose1 w:val="00000000000000000000"/>
    <w:charset w:val="7A"/>
    <w:family w:val="script"/>
    <w:pitch w:val="default"/>
    <w:sig w:usb0="00000000" w:usb1="00000000" w:usb2="00000010" w:usb3="00000000" w:csb0="00040000" w:csb1="00000000"/>
  </w:font>
  <w:font w:name="仿宋_GB2312">
    <w:altName w:val="仿宋"/>
    <w:panose1 w:val="02010609030101010101"/>
    <w:charset w:val="7A"/>
    <w:family w:val="modern"/>
    <w:pitch w:val="default"/>
    <w:sig w:usb0="00000000" w:usb1="00000000" w:usb2="00000000" w:usb3="00000000" w:csb0="00040000" w:csb1="00000000"/>
  </w:font>
  <w:font w:name="仿宋">
    <w:panose1 w:val="02010609060101010101"/>
    <w:charset w:val="7A"/>
    <w:family w:val="modern"/>
    <w:pitch w:val="default"/>
    <w:sig w:usb0="800002BF" w:usb1="38CF7CFA" w:usb2="00000016" w:usb3="00000000" w:csb0="00040001" w:csb1="00000000"/>
  </w:font>
  <w:font w:name="Dotum">
    <w:panose1 w:val="020B0600000101010101"/>
    <w:charset w:val="81"/>
    <w:family w:val="auto"/>
    <w:pitch w:val="default"/>
    <w:sig w:usb0="B00002AF" w:usb1="69D77CFB" w:usb2="00000030" w:usb3="00000000" w:csb0="4008009F" w:csb1="DFD70000"/>
  </w:font>
  <w:font w:name="DFKai-SB">
    <w:panose1 w:val="03000509000000000000"/>
    <w:charset w:val="88"/>
    <w:family w:val="auto"/>
    <w:pitch w:val="default"/>
    <w:sig w:usb0="00000003" w:usb1="082E0000" w:usb2="00000016" w:usb3="00000000" w:csb0="00100001" w:csb1="0000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新宋体">
    <w:panose1 w:val="02010609030101010101"/>
    <w:charset w:val="86"/>
    <w:family w:val="auto"/>
    <w:pitch w:val="default"/>
    <w:sig w:usb0="00000003" w:usb1="288F0000" w:usb2="0000000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6</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81F99"/>
    <w:rsid w:val="00094AA7"/>
    <w:rsid w:val="001052EF"/>
    <w:rsid w:val="00121AE4"/>
    <w:rsid w:val="00124415"/>
    <w:rsid w:val="00136BCC"/>
    <w:rsid w:val="00146AAD"/>
    <w:rsid w:val="00163005"/>
    <w:rsid w:val="001B23F1"/>
    <w:rsid w:val="001B3A40"/>
    <w:rsid w:val="001F178A"/>
    <w:rsid w:val="00220617"/>
    <w:rsid w:val="002275AF"/>
    <w:rsid w:val="00275C84"/>
    <w:rsid w:val="002C7C6C"/>
    <w:rsid w:val="00311626"/>
    <w:rsid w:val="00321CBD"/>
    <w:rsid w:val="00347D87"/>
    <w:rsid w:val="003542B7"/>
    <w:rsid w:val="00362973"/>
    <w:rsid w:val="003C2CF9"/>
    <w:rsid w:val="004366A8"/>
    <w:rsid w:val="00502BA7"/>
    <w:rsid w:val="005162F1"/>
    <w:rsid w:val="00535153"/>
    <w:rsid w:val="0053785F"/>
    <w:rsid w:val="00554F82"/>
    <w:rsid w:val="0056390D"/>
    <w:rsid w:val="00567641"/>
    <w:rsid w:val="005719B0"/>
    <w:rsid w:val="005D10D6"/>
    <w:rsid w:val="0063597F"/>
    <w:rsid w:val="00650CDE"/>
    <w:rsid w:val="00656E69"/>
    <w:rsid w:val="00676D22"/>
    <w:rsid w:val="007A593B"/>
    <w:rsid w:val="007C6A43"/>
    <w:rsid w:val="007D32F0"/>
    <w:rsid w:val="007E6716"/>
    <w:rsid w:val="007F04D8"/>
    <w:rsid w:val="00855E3A"/>
    <w:rsid w:val="008637AC"/>
    <w:rsid w:val="00896C90"/>
    <w:rsid w:val="008D76FF"/>
    <w:rsid w:val="008E6B23"/>
    <w:rsid w:val="008F2612"/>
    <w:rsid w:val="008F373D"/>
    <w:rsid w:val="00922CB9"/>
    <w:rsid w:val="009425E7"/>
    <w:rsid w:val="0099379F"/>
    <w:rsid w:val="009C485D"/>
    <w:rsid w:val="009E5CD9"/>
    <w:rsid w:val="00A200D4"/>
    <w:rsid w:val="00A26421"/>
    <w:rsid w:val="00A4293B"/>
    <w:rsid w:val="00A67D50"/>
    <w:rsid w:val="00A8691A"/>
    <w:rsid w:val="00AA78D4"/>
    <w:rsid w:val="00AC1946"/>
    <w:rsid w:val="00B40063"/>
    <w:rsid w:val="00B41F61"/>
    <w:rsid w:val="00BA2447"/>
    <w:rsid w:val="00BA46E6"/>
    <w:rsid w:val="00BD7C64"/>
    <w:rsid w:val="00BE7334"/>
    <w:rsid w:val="00BF7355"/>
    <w:rsid w:val="00C56C72"/>
    <w:rsid w:val="00C87A8E"/>
    <w:rsid w:val="00C95952"/>
    <w:rsid w:val="00CA2121"/>
    <w:rsid w:val="00CA6457"/>
    <w:rsid w:val="00CB0722"/>
    <w:rsid w:val="00D17F2E"/>
    <w:rsid w:val="00D30354"/>
    <w:rsid w:val="00D35A5E"/>
    <w:rsid w:val="00D84A87"/>
    <w:rsid w:val="00DD1016"/>
    <w:rsid w:val="00DF42A0"/>
    <w:rsid w:val="00E32AE0"/>
    <w:rsid w:val="00E564B5"/>
    <w:rsid w:val="00E769FE"/>
    <w:rsid w:val="00E825E5"/>
    <w:rsid w:val="00E8353B"/>
    <w:rsid w:val="00EA2CBE"/>
    <w:rsid w:val="00F32FEE"/>
    <w:rsid w:val="00FB10BB"/>
    <w:rsid w:val="00FC3B55"/>
    <w:rsid w:val="00FE11B9"/>
    <w:rsid w:val="02E37DE9"/>
    <w:rsid w:val="0D5D5A45"/>
    <w:rsid w:val="17E421EC"/>
    <w:rsid w:val="1B880AD7"/>
    <w:rsid w:val="347362C2"/>
    <w:rsid w:val="5ECC628A"/>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20">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1">
    <w:name w:val="标题 1 Char"/>
    <w:basedOn w:val="17"/>
    <w:link w:val="2"/>
    <w:qFormat/>
    <w:uiPriority w:val="9"/>
    <w:rPr>
      <w:rFonts w:asciiTheme="majorHAnsi" w:hAnsiTheme="majorHAnsi" w:eastAsiaTheme="majorEastAsia"/>
      <w:b/>
      <w:bCs/>
      <w:kern w:val="32"/>
      <w:sz w:val="32"/>
      <w:szCs w:val="32"/>
    </w:rPr>
  </w:style>
  <w:style w:type="character" w:customStyle="1" w:styleId="22">
    <w:name w:val="标题 2 Char"/>
    <w:basedOn w:val="17"/>
    <w:link w:val="3"/>
    <w:semiHidden/>
    <w:qFormat/>
    <w:uiPriority w:val="9"/>
    <w:rPr>
      <w:rFonts w:asciiTheme="majorHAnsi" w:hAnsiTheme="majorHAnsi" w:eastAsiaTheme="majorEastAsia"/>
      <w:b/>
      <w:bCs/>
      <w:i/>
      <w:iCs/>
      <w:sz w:val="28"/>
      <w:szCs w:val="28"/>
    </w:rPr>
  </w:style>
  <w:style w:type="character" w:customStyle="1" w:styleId="23">
    <w:name w:val="标题 3 Char"/>
    <w:basedOn w:val="17"/>
    <w:link w:val="4"/>
    <w:semiHidden/>
    <w:qFormat/>
    <w:uiPriority w:val="9"/>
    <w:rPr>
      <w:rFonts w:asciiTheme="majorHAnsi" w:hAnsiTheme="majorHAnsi" w:eastAsiaTheme="majorEastAsia"/>
      <w:b/>
      <w:bCs/>
      <w:sz w:val="26"/>
      <w:szCs w:val="26"/>
    </w:rPr>
  </w:style>
  <w:style w:type="character" w:customStyle="1" w:styleId="24">
    <w:name w:val="标题 4 Char"/>
    <w:basedOn w:val="17"/>
    <w:link w:val="5"/>
    <w:semiHidden/>
    <w:qFormat/>
    <w:uiPriority w:val="9"/>
    <w:rPr>
      <w:b/>
      <w:bCs/>
      <w:sz w:val="28"/>
      <w:szCs w:val="28"/>
    </w:rPr>
  </w:style>
  <w:style w:type="character" w:customStyle="1" w:styleId="25">
    <w:name w:val="标题 5 Char"/>
    <w:basedOn w:val="17"/>
    <w:link w:val="6"/>
    <w:semiHidden/>
    <w:qFormat/>
    <w:uiPriority w:val="9"/>
    <w:rPr>
      <w:b/>
      <w:bCs/>
      <w:i/>
      <w:iCs/>
      <w:sz w:val="26"/>
      <w:szCs w:val="26"/>
    </w:rPr>
  </w:style>
  <w:style w:type="character" w:customStyle="1" w:styleId="26">
    <w:name w:val="标题 6 Char"/>
    <w:basedOn w:val="17"/>
    <w:link w:val="7"/>
    <w:semiHidden/>
    <w:qFormat/>
    <w:uiPriority w:val="9"/>
    <w:rPr>
      <w:b/>
      <w:bCs/>
    </w:rPr>
  </w:style>
  <w:style w:type="character" w:customStyle="1" w:styleId="27">
    <w:name w:val="标题 7 Char"/>
    <w:basedOn w:val="17"/>
    <w:link w:val="8"/>
    <w:semiHidden/>
    <w:qFormat/>
    <w:uiPriority w:val="9"/>
    <w:rPr>
      <w:sz w:val="24"/>
      <w:szCs w:val="24"/>
    </w:rPr>
  </w:style>
  <w:style w:type="character" w:customStyle="1" w:styleId="28">
    <w:name w:val="标题 8 Char"/>
    <w:basedOn w:val="17"/>
    <w:link w:val="9"/>
    <w:semiHidden/>
    <w:qFormat/>
    <w:uiPriority w:val="9"/>
    <w:rPr>
      <w:i/>
      <w:iCs/>
      <w:sz w:val="24"/>
      <w:szCs w:val="24"/>
    </w:rPr>
  </w:style>
  <w:style w:type="character" w:customStyle="1" w:styleId="29">
    <w:name w:val="标题 9 Char"/>
    <w:basedOn w:val="17"/>
    <w:link w:val="10"/>
    <w:semiHidden/>
    <w:qFormat/>
    <w:uiPriority w:val="9"/>
    <w:rPr>
      <w:rFonts w:asciiTheme="majorHAnsi" w:hAnsiTheme="majorHAnsi" w:eastAsiaTheme="majorEastAsia"/>
    </w:rPr>
  </w:style>
  <w:style w:type="character" w:customStyle="1" w:styleId="30">
    <w:name w:val="标题 Char"/>
    <w:basedOn w:val="17"/>
    <w:link w:val="16"/>
    <w:qFormat/>
    <w:uiPriority w:val="10"/>
    <w:rPr>
      <w:rFonts w:asciiTheme="majorHAnsi" w:hAnsiTheme="majorHAnsi" w:eastAsiaTheme="majorEastAsia"/>
      <w:b/>
      <w:bCs/>
      <w:kern w:val="28"/>
      <w:sz w:val="32"/>
      <w:szCs w:val="32"/>
    </w:rPr>
  </w:style>
  <w:style w:type="character" w:customStyle="1" w:styleId="31">
    <w:name w:val="副标题 Char"/>
    <w:basedOn w:val="17"/>
    <w:link w:val="14"/>
    <w:qFormat/>
    <w:uiPriority w:val="11"/>
    <w:rPr>
      <w:rFonts w:asciiTheme="majorHAnsi" w:hAnsiTheme="majorHAnsi" w:eastAsiaTheme="majorEastAsia"/>
      <w:sz w:val="24"/>
      <w:szCs w:val="24"/>
    </w:rPr>
  </w:style>
  <w:style w:type="paragraph" w:customStyle="1"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7"/>
    <w:link w:val="34"/>
    <w:qFormat/>
    <w:uiPriority w:val="29"/>
    <w:rPr>
      <w:i/>
      <w:sz w:val="24"/>
      <w:szCs w:val="24"/>
    </w:rPr>
  </w:style>
  <w:style w:type="paragraph" w:customStyle="1"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7"/>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7"/>
    <w:qFormat/>
    <w:uiPriority w:val="21"/>
    <w:rPr>
      <w:b/>
      <w:i/>
      <w:sz w:val="24"/>
      <w:szCs w:val="24"/>
      <w:u w:val="single"/>
    </w:rPr>
  </w:style>
  <w:style w:type="character" w:customStyle="1" w:styleId="40">
    <w:name w:val="不明显参考1"/>
    <w:basedOn w:val="17"/>
    <w:qFormat/>
    <w:uiPriority w:val="31"/>
    <w:rPr>
      <w:sz w:val="24"/>
      <w:szCs w:val="24"/>
      <w:u w:val="single"/>
    </w:rPr>
  </w:style>
  <w:style w:type="character" w:customStyle="1" w:styleId="41">
    <w:name w:val="明显参考1"/>
    <w:basedOn w:val="17"/>
    <w:qFormat/>
    <w:uiPriority w:val="32"/>
    <w:rPr>
      <w:b/>
      <w:sz w:val="24"/>
      <w:u w:val="single"/>
    </w:rPr>
  </w:style>
  <w:style w:type="character" w:customStyle="1" w:styleId="42">
    <w:name w:val="书籍标题1"/>
    <w:basedOn w:val="17"/>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7"/>
    <w:link w:val="13"/>
    <w:qFormat/>
    <w:uiPriority w:val="99"/>
    <w:rPr>
      <w:rFonts w:ascii="Calibri" w:hAnsi="Calibri" w:eastAsia="宋体"/>
      <w:kern w:val="2"/>
      <w:sz w:val="18"/>
      <w:szCs w:val="18"/>
    </w:rPr>
  </w:style>
  <w:style w:type="character" w:customStyle="1" w:styleId="45">
    <w:name w:val="页脚 Char"/>
    <w:basedOn w:val="17"/>
    <w:link w:val="12"/>
    <w:qFormat/>
    <w:uiPriority w:val="99"/>
    <w:rPr>
      <w:rFonts w:ascii="Calibri" w:hAnsi="Calibri" w:eastAsia="宋体"/>
      <w:kern w:val="2"/>
      <w:sz w:val="18"/>
      <w:szCs w:val="18"/>
    </w:rPr>
  </w:style>
  <w:style w:type="character" w:customStyle="1" w:styleId="46">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386</Words>
  <Characters>2203</Characters>
  <Lines>18</Lines>
  <Paragraphs>5</Paragraphs>
  <ScaleCrop>false</ScaleCrop>
  <LinksUpToDate>false</LinksUpToDate>
  <CharactersWithSpaces>2584</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2019-11-24T05:31:56Z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