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hint="eastAsia" w:ascii="仿宋_GB2312" w:hAnsi="仿宋_GB2312" w:eastAsia="仿宋_GB2312" w:cs="仿宋_GB2312"/>
          <w:sz w:val="32"/>
        </w:rPr>
        <w:t>培训</w:t>
      </w:r>
      <w:r>
        <w:rPr>
          <w:rFonts w:ascii="仿宋_GB2312" w:hAnsi="仿宋_GB2312" w:eastAsia="仿宋_GB2312" w:cs="仿宋_GB2312"/>
          <w:sz w:val="32"/>
        </w:rPr>
        <w:t>资金项目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w:t>
      </w:r>
      <w:bookmarkStart w:id="0" w:name="_GoBack"/>
      <w:bookmarkEnd w:id="0"/>
      <w:r>
        <w:rPr>
          <w:rFonts w:hint="eastAsia" w:ascii="仿宋_GB2312" w:hAnsi="仿宋_GB2312" w:eastAsia="仿宋_GB2312" w:cs="仿宋_GB2312"/>
          <w:bCs/>
          <w:sz w:val="32"/>
          <w:szCs w:val="32"/>
        </w:rPr>
        <w:t>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等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叶城县江格勒斯乡执行该项目资金总额47.48万元，用江格勒斯乡农业大棚设备采购。此项资金保证了农业大棚按时完工，提高了村民生活就业水平，保证了村民生活质量。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江格勒斯乡培训资金项目性质为延续性项目。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江格勒斯乡培训资金项目资金47.48万元，用于保证11村农业大棚按时完工，确保经济健康迅速发展，拓宽村民增收渠道，增加村民收入。按照年度预算，此项资金按时发放，很大程度上提高了村民生活水平。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2018〕44号、喀地财社［2018］44号文件要求，本项目资金47.48万元，其中财政资金47.48万元，其他资金0万元，资金到位47.48万元；资金到位率100%。用于采购棚膜1900千克、棉被1787条、大棚钢架150根，棚膜单价14.2元/千克、棉被单价221元/条、钢架单价352元/条，共计47.48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根据新财社〔2018〕44号、喀地财社［2018］44号文件，到位资金</w:t>
      </w:r>
      <w:r>
        <w:rPr>
          <w:rFonts w:hint="eastAsia" w:ascii="仿宋_GB2312" w:hAnsi="仿宋_GB2312" w:eastAsia="仿宋_GB2312" w:cs="仿宋_GB2312"/>
          <w:bCs/>
          <w:sz w:val="32"/>
          <w:szCs w:val="32"/>
        </w:rPr>
        <w:t>47.48</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47.48</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用于保证11村农业大棚按时完工，确保经济健康迅速发展，拓宽村民增收渠道，增加村民收入。按照年度预算，此项资金按时发放，很大程度上提高了村民生活水平。共计支付47.48</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，我单位积极与上级部门对接，进行了培训资金项目</w:t>
      </w:r>
      <w:r>
        <w:rPr>
          <w:rFonts w:hint="eastAsia" w:ascii="仿宋_GB2312" w:hAnsi="仿宋_GB2312" w:eastAsia="仿宋_GB2312" w:cs="仿宋_GB2312"/>
          <w:bCs/>
          <w:spacing w:val="-4"/>
          <w:sz w:val="32"/>
          <w:szCs w:val="32"/>
        </w:rPr>
        <w:t>前期考察</w:t>
      </w:r>
      <w:r>
        <w:rPr>
          <w:rFonts w:hint="eastAsia" w:ascii="仿宋_GB2312" w:hAnsi="仿宋_GB2312" w:eastAsia="仿宋_GB2312" w:cs="仿宋_GB2312"/>
          <w:bCs/>
          <w:sz w:val="32"/>
          <w:szCs w:val="32"/>
        </w:rPr>
        <w:t>工作，制定《培训资金项目前期考察工作方案》，组织乡财政所、民政办、纪检委进行实地考察工作，为保质保量完成提供了强有力的技术支撑，有效地推进了项目工作，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w:t>
      </w:r>
      <w:r>
        <w:rPr>
          <w:rFonts w:hint="eastAsia" w:ascii="仿宋_GB2312" w:hAnsi="仿宋_GB2312" w:eastAsia="仿宋_GB2312" w:cs="仿宋_GB2312"/>
          <w:bCs/>
          <w:sz w:val="32"/>
          <w:szCs w:val="32"/>
        </w:rPr>
        <w:t>培训资金项目</w:t>
      </w:r>
      <w:r>
        <w:rPr>
          <w:rStyle w:val="19"/>
          <w:rFonts w:hint="eastAsia" w:ascii="仿宋_GB2312" w:hAnsi="仿宋_GB2312" w:eastAsia="仿宋_GB2312" w:cs="仿宋_GB2312"/>
          <w:b w:val="0"/>
          <w:spacing w:val="-4"/>
          <w:sz w:val="32"/>
          <w:szCs w:val="32"/>
        </w:rPr>
        <w:t>资金执行制度》保障项目的顺利实施。项目的实施遵守相关法律法规和业务管理规定，项目资料齐全并及时装订、归档。已建立《</w:t>
      </w:r>
      <w:r>
        <w:rPr>
          <w:rFonts w:hint="eastAsia" w:ascii="仿宋_GB2312" w:hAnsi="仿宋_GB2312" w:eastAsia="仿宋_GB2312" w:cs="仿宋_GB2312"/>
          <w:bCs/>
          <w:sz w:val="32"/>
          <w:szCs w:val="32"/>
        </w:rPr>
        <w:t>培训资金项目</w:t>
      </w:r>
      <w:r>
        <w:rPr>
          <w:rStyle w:val="19"/>
          <w:rFonts w:hint="eastAsia" w:ascii="仿宋_GB2312" w:hAnsi="仿宋_GB2312" w:eastAsia="仿宋_GB2312" w:cs="仿宋_GB2312"/>
          <w:b w:val="0"/>
          <w:spacing w:val="-4"/>
          <w:sz w:val="32"/>
          <w:szCs w:val="32"/>
        </w:rPr>
        <w:t>资金管理制度》，不定期对项目进度情况进行督导检查，对检查过程中发现的问题及时督促整改，确保了项目按时保质完成。</w:t>
      </w:r>
    </w:p>
    <w:p>
      <w:pPr>
        <w:tabs>
          <w:tab w:val="left" w:pos="7626"/>
        </w:tabs>
        <w:spacing w:line="560" w:lineRule="exact"/>
        <w:ind w:firstLine="624" w:firstLineChars="200"/>
        <w:rPr>
          <w:rStyle w:val="19"/>
          <w:rFonts w:hint="eastAsia" w:ascii="黑体" w:hAnsi="黑体" w:eastAsia="黑体" w:cs="黑体"/>
          <w:b w:val="0"/>
          <w:sz w:val="32"/>
          <w:szCs w:val="32"/>
          <w:lang w:eastAsia="zh-CN"/>
        </w:rPr>
      </w:pPr>
      <w:r>
        <w:rPr>
          <w:rStyle w:val="19"/>
          <w:rFonts w:hint="eastAsia" w:ascii="黑体" w:hAnsi="黑体" w:eastAsia="黑体" w:cs="黑体"/>
          <w:b w:val="0"/>
          <w:spacing w:val="-4"/>
          <w:sz w:val="32"/>
          <w:szCs w:val="32"/>
        </w:rPr>
        <w:t>四、项目绩效情况</w:t>
      </w:r>
      <w:r>
        <w:rPr>
          <w:rStyle w:val="19"/>
          <w:rFonts w:hint="eastAsia" w:ascii="黑体" w:hAnsi="黑体" w:eastAsia="黑体" w:cs="黑体"/>
          <w:b w:val="0"/>
          <w:spacing w:val="-4"/>
          <w:sz w:val="32"/>
          <w:szCs w:val="32"/>
          <w:lang w:eastAsia="zh-CN"/>
        </w:rPr>
        <w:tab/>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本项目共设置一级指标3个，二级指标8个，三级指标12个，其中已完成三级指标12个，指标完成率为100%。根据年初设定的绩效目标，此项目自评得分为9</w:t>
      </w:r>
      <w:r>
        <w:rPr>
          <w:rFonts w:hint="eastAsia" w:ascii="仿宋_GB2312" w:hAnsi="仿宋_GB2312" w:eastAsia="仿宋_GB2312" w:cs="仿宋_GB2312"/>
          <w:bCs/>
          <w:kern w:val="0"/>
          <w:sz w:val="32"/>
          <w:szCs w:val="32"/>
          <w:lang w:val="en-US" w:eastAsia="zh-CN"/>
        </w:rPr>
        <w:t>2</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截止2018年年度自评工作，江格勒斯乡培训资金项目共采购</w:t>
      </w:r>
      <w:r>
        <w:rPr>
          <w:rFonts w:hint="eastAsia" w:ascii="仿宋_GB2312" w:hAnsi="仿宋_GB2312" w:eastAsia="仿宋_GB2312" w:cs="仿宋_GB2312"/>
          <w:bCs/>
          <w:sz w:val="32"/>
          <w:szCs w:val="32"/>
        </w:rPr>
        <w:t>棚膜1900千克、棉被1787条、大棚钢架150根</w:t>
      </w:r>
      <w:r>
        <w:rPr>
          <w:rFonts w:hint="eastAsia" w:ascii="仿宋_GB2312" w:hAnsi="仿宋_GB2312" w:eastAsia="仿宋_GB2312" w:cs="仿宋_GB2312"/>
          <w:bCs/>
          <w:spacing w:val="-4"/>
          <w:sz w:val="32"/>
          <w:szCs w:val="32"/>
        </w:rPr>
        <w:t>，已全部执行，完成年度设定的预期目标，完成率100%。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培训资金项目棚圈完工及时率100%，已及时完工，我单位严格按照年度预期设定目标，为保证培训资金项目棚圈完工及时率的提高，项目资金支付及时，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截止2018年年度自评评价时，我单位严格按照前期制定的项目实施方案，为保证项目进度与资金支出进度相统一的原则，江格勒斯乡培训资金项目资金拨付及时率100%，已全部及时拨付，完成率100%。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截止2018年，江格勒斯乡培训资金项目</w:t>
      </w:r>
      <w:r>
        <w:rPr>
          <w:rFonts w:hint="eastAsia" w:ascii="仿宋_GB2312" w:hAnsi="仿宋_GB2312" w:eastAsia="仿宋_GB2312" w:cs="仿宋_GB2312"/>
          <w:bCs/>
          <w:sz w:val="32"/>
          <w:szCs w:val="32"/>
        </w:rPr>
        <w:t>棚膜单价14.2元/千克、棉被单价221元/条、大棚钢架单价352元/条</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培训资金项目资金</w:t>
      </w:r>
      <w:r>
        <w:rPr>
          <w:rFonts w:hint="eastAsia" w:ascii="仿宋_GB2312" w:hAnsi="仿宋_GB2312" w:eastAsia="仿宋_GB2312" w:cs="仿宋_GB2312"/>
          <w:bCs/>
          <w:spacing w:val="-4"/>
          <w:sz w:val="32"/>
          <w:szCs w:val="32"/>
        </w:rPr>
        <w:t>的实施，有效提高了村民收入，提升了村民的生活质量。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通过本年度培训资金项目的实施，村民生活水平得到持续上升。加强了村民的幸福感，</w:t>
      </w:r>
      <w:r>
        <w:rPr>
          <w:rFonts w:hint="eastAsia" w:ascii="仿宋_GB2312" w:hAnsi="仿宋_GB2312" w:eastAsia="仿宋_GB2312" w:cs="仿宋_GB2312"/>
          <w:bCs/>
          <w:sz w:val="32"/>
          <w:szCs w:val="32"/>
        </w:rPr>
        <w:t>拓宽了村民增收渠道，确保了经济健康迅速发展，</w:t>
      </w:r>
      <w:r>
        <w:rPr>
          <w:rFonts w:hint="eastAsia" w:ascii="仿宋_GB2312" w:hAnsi="仿宋_GB2312" w:eastAsia="仿宋_GB2312" w:cs="仿宋_GB2312"/>
          <w:bCs/>
          <w:spacing w:val="-4"/>
          <w:sz w:val="32"/>
          <w:szCs w:val="32"/>
        </w:rPr>
        <w:t>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培训资金项目资金</w:t>
      </w:r>
      <w:r>
        <w:rPr>
          <w:rFonts w:hint="eastAsia" w:ascii="仿宋_GB2312" w:hAnsi="仿宋_GB2312" w:eastAsia="仿宋_GB2312" w:cs="仿宋_GB2312"/>
          <w:bCs/>
          <w:spacing w:val="-4"/>
          <w:sz w:val="32"/>
          <w:szCs w:val="32"/>
        </w:rPr>
        <w:t>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叶城县江格勒斯乡人民政府培训资金项目在完成本年度预算执行的基础上，将继续严格2019年本门预算编制工作，在下一年度工作中，严格按照年初预算执行项目资金支出。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培训资金项目资金的使用效率和效果，项目管理过程是否规范，是否完成了预期绩效目标等。同时，通过开展自我评价来总结经验和教训，为叶城县江格勒斯乡人民政府培训资金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0FBF"/>
    <w:rsid w:val="00056465"/>
    <w:rsid w:val="000C69DD"/>
    <w:rsid w:val="00121AE4"/>
    <w:rsid w:val="00136BCC"/>
    <w:rsid w:val="00146AAD"/>
    <w:rsid w:val="001B23F1"/>
    <w:rsid w:val="001B3A40"/>
    <w:rsid w:val="00220617"/>
    <w:rsid w:val="00311626"/>
    <w:rsid w:val="00321CBD"/>
    <w:rsid w:val="00347D87"/>
    <w:rsid w:val="003C2CF9"/>
    <w:rsid w:val="003D7970"/>
    <w:rsid w:val="004366A8"/>
    <w:rsid w:val="004857E7"/>
    <w:rsid w:val="00502BA7"/>
    <w:rsid w:val="005162F1"/>
    <w:rsid w:val="00535153"/>
    <w:rsid w:val="00554F82"/>
    <w:rsid w:val="0056390D"/>
    <w:rsid w:val="005719B0"/>
    <w:rsid w:val="005D10D6"/>
    <w:rsid w:val="00603193"/>
    <w:rsid w:val="0063597F"/>
    <w:rsid w:val="00656E69"/>
    <w:rsid w:val="00676EE3"/>
    <w:rsid w:val="006C1947"/>
    <w:rsid w:val="007A593B"/>
    <w:rsid w:val="007D32F0"/>
    <w:rsid w:val="007E6716"/>
    <w:rsid w:val="00814232"/>
    <w:rsid w:val="00855E3A"/>
    <w:rsid w:val="008D2507"/>
    <w:rsid w:val="008E6B23"/>
    <w:rsid w:val="008F2612"/>
    <w:rsid w:val="00922CB9"/>
    <w:rsid w:val="0099379F"/>
    <w:rsid w:val="009E5CD9"/>
    <w:rsid w:val="00A26421"/>
    <w:rsid w:val="00A4293B"/>
    <w:rsid w:val="00A67D50"/>
    <w:rsid w:val="00A8691A"/>
    <w:rsid w:val="00AA78D4"/>
    <w:rsid w:val="00AC1946"/>
    <w:rsid w:val="00AF5A6A"/>
    <w:rsid w:val="00B40063"/>
    <w:rsid w:val="00B41F61"/>
    <w:rsid w:val="00BA2447"/>
    <w:rsid w:val="00BA46E6"/>
    <w:rsid w:val="00BF7355"/>
    <w:rsid w:val="00C055E7"/>
    <w:rsid w:val="00C56C72"/>
    <w:rsid w:val="00C87A8E"/>
    <w:rsid w:val="00C95952"/>
    <w:rsid w:val="00CA6457"/>
    <w:rsid w:val="00CB0722"/>
    <w:rsid w:val="00D07F40"/>
    <w:rsid w:val="00D17F2E"/>
    <w:rsid w:val="00D30354"/>
    <w:rsid w:val="00D35A5E"/>
    <w:rsid w:val="00DD1016"/>
    <w:rsid w:val="00DF42A0"/>
    <w:rsid w:val="00E32AE0"/>
    <w:rsid w:val="00E564B5"/>
    <w:rsid w:val="00E769FE"/>
    <w:rsid w:val="00EA2CBE"/>
    <w:rsid w:val="00F32FEE"/>
    <w:rsid w:val="00FB10BB"/>
    <w:rsid w:val="00FC3B55"/>
    <w:rsid w:val="00FE11B9"/>
    <w:rsid w:val="015E5486"/>
    <w:rsid w:val="02E37DE9"/>
    <w:rsid w:val="0D5D5A45"/>
    <w:rsid w:val="10AD2391"/>
    <w:rsid w:val="1131305A"/>
    <w:rsid w:val="145832BA"/>
    <w:rsid w:val="17E421EC"/>
    <w:rsid w:val="18CF7BC9"/>
    <w:rsid w:val="1D0B0C8F"/>
    <w:rsid w:val="1E246A29"/>
    <w:rsid w:val="20BC5BC8"/>
    <w:rsid w:val="210C52D1"/>
    <w:rsid w:val="2A8D18F3"/>
    <w:rsid w:val="2C57676A"/>
    <w:rsid w:val="2C7E20A3"/>
    <w:rsid w:val="2F414044"/>
    <w:rsid w:val="33BE4168"/>
    <w:rsid w:val="347362C2"/>
    <w:rsid w:val="36A0252A"/>
    <w:rsid w:val="3A9B56E0"/>
    <w:rsid w:val="3B204A06"/>
    <w:rsid w:val="3B312441"/>
    <w:rsid w:val="3E4316D7"/>
    <w:rsid w:val="3E8D08DB"/>
    <w:rsid w:val="462F6FC4"/>
    <w:rsid w:val="470257FC"/>
    <w:rsid w:val="49812AEA"/>
    <w:rsid w:val="49AD46D0"/>
    <w:rsid w:val="4DBF6B36"/>
    <w:rsid w:val="50FF5752"/>
    <w:rsid w:val="5199002C"/>
    <w:rsid w:val="58E30F45"/>
    <w:rsid w:val="59520100"/>
    <w:rsid w:val="596F2F46"/>
    <w:rsid w:val="5C717A0E"/>
    <w:rsid w:val="61223464"/>
    <w:rsid w:val="6BCC1AF1"/>
    <w:rsid w:val="6D3C2E25"/>
    <w:rsid w:val="6F222858"/>
    <w:rsid w:val="733707D1"/>
    <w:rsid w:val="74CF1D6F"/>
    <w:rsid w:val="775F6F0E"/>
    <w:rsid w:val="7D497721"/>
    <w:rsid w:val="7D8249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499</Words>
  <Characters>2849</Characters>
  <Lines>23</Lines>
  <Paragraphs>6</Paragraphs>
  <TotalTime>0</TotalTime>
  <ScaleCrop>false</ScaleCrop>
  <LinksUpToDate>false</LinksUpToDate>
  <CharactersWithSpaces>3342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2024-01-15T08:27:05Z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