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ascii="黑体" w:hAnsi="黑体" w:eastAsia="黑体" w:cs="黑体"/>
          <w:sz w:val="32"/>
          <w:szCs w:val="32"/>
        </w:rPr>
      </w:pPr>
      <w:bookmarkStart w:id="92" w:name="_GoBack"/>
      <w:bookmarkEnd w:id="92"/>
      <w:r>
        <w:rPr>
          <w:rFonts w:ascii="黑体" w:hAnsi="黑体" w:eastAsia="黑体" w:cs="黑体"/>
          <w:sz w:val="32"/>
          <w:szCs w:val="32"/>
        </w:rPr>
        <w:t>附件</w:t>
      </w:r>
      <w:r>
        <w:rPr>
          <w:rFonts w:hint="eastAsia" w:ascii="黑体" w:hAnsi="黑体" w:eastAsia="黑体" w:cs="黑体"/>
          <w:sz w:val="32"/>
          <w:szCs w:val="32"/>
        </w:rPr>
        <w:t>1：</w:t>
      </w:r>
    </w:p>
    <w:p>
      <w:pPr>
        <w:spacing w:line="540" w:lineRule="exact"/>
        <w:jc w:val="center"/>
        <w:rPr>
          <w:rFonts w:hint="eastAsia" w:ascii="方正小标宋_GBK" w:hAnsi="宋体" w:eastAsia="方正小标宋_GBK"/>
          <w:sz w:val="44"/>
          <w:szCs w:val="44"/>
        </w:rPr>
      </w:pPr>
    </w:p>
    <w:p>
      <w:pPr>
        <w:spacing w:line="540" w:lineRule="exact"/>
        <w:jc w:val="center"/>
        <w:rPr>
          <w:rFonts w:ascii="方正小标宋_GBK" w:hAnsi="宋体" w:eastAsia="方正小标宋_GBK"/>
          <w:sz w:val="44"/>
          <w:szCs w:val="44"/>
        </w:rPr>
      </w:pPr>
      <w:r>
        <w:rPr>
          <w:rFonts w:hint="eastAsia" w:ascii="方正小标宋_GBK" w:hAnsi="宋体" w:eastAsia="方正小标宋_GBK"/>
          <w:sz w:val="44"/>
          <w:szCs w:val="44"/>
          <w:lang w:val="en-US" w:eastAsia="zh-CN"/>
        </w:rPr>
        <w:t xml:space="preserve"> </w:t>
      </w:r>
      <w:r>
        <w:rPr>
          <w:rFonts w:hint="eastAsia" w:ascii="方正小标宋_GBK" w:hAnsi="宋体" w:eastAsia="方正小标宋_GBK"/>
          <w:sz w:val="44"/>
          <w:szCs w:val="44"/>
        </w:rPr>
        <w:t>2018年度新疆喀什地区叶城县恰其库木管理区部门决算公开说明</w:t>
      </w:r>
    </w:p>
    <w:p>
      <w:pPr>
        <w:spacing w:line="540" w:lineRule="exact"/>
        <w:rPr>
          <w:rFonts w:ascii="仿宋_GB2312" w:hAnsi="宋体" w:eastAsia="仿宋_GB2312"/>
          <w:sz w:val="32"/>
          <w:szCs w:val="32"/>
        </w:rPr>
      </w:pPr>
    </w:p>
    <w:p>
      <w:pPr>
        <w:spacing w:line="540" w:lineRule="exact"/>
        <w:jc w:val="center"/>
        <w:rPr>
          <w:rFonts w:ascii="黑体" w:hAnsi="黑体" w:eastAsia="黑体"/>
          <w:bCs/>
          <w:kern w:val="0"/>
          <w:sz w:val="32"/>
          <w:szCs w:val="32"/>
        </w:rPr>
      </w:pPr>
      <w:r>
        <w:rPr>
          <w:rFonts w:hint="eastAsia" w:ascii="黑体" w:hAnsi="黑体" w:eastAsia="黑体"/>
          <w:bCs/>
          <w:kern w:val="0"/>
          <w:sz w:val="32"/>
          <w:szCs w:val="32"/>
        </w:rPr>
        <w:t>目  录</w:t>
      </w:r>
    </w:p>
    <w:p>
      <w:pPr>
        <w:spacing w:line="540" w:lineRule="exact"/>
        <w:rPr>
          <w:rFonts w:ascii="仿宋_GB2312" w:hAnsi="宋体" w:eastAsia="仿宋_GB2312"/>
          <w:b/>
          <w:kern w:val="0"/>
          <w:sz w:val="32"/>
          <w:szCs w:val="32"/>
        </w:rPr>
      </w:pP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第一部分 部门单位概况</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kern w:val="0"/>
          <w:sz w:val="32"/>
          <w:szCs w:val="32"/>
        </w:rPr>
        <w:t>一、主要职能</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kern w:val="0"/>
          <w:sz w:val="32"/>
          <w:szCs w:val="32"/>
        </w:rPr>
        <w:t>二、</w:t>
      </w:r>
      <w:r>
        <w:rPr>
          <w:rFonts w:hint="eastAsia" w:ascii="仿宋_GB2312" w:eastAsia="仿宋_GB2312"/>
          <w:sz w:val="32"/>
          <w:szCs w:val="32"/>
        </w:rPr>
        <w:t>机构设置情况</w:t>
      </w: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第二部分 部门决算情况说明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一、部门收支总体情况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（一）部门收入支出决算总体情况说明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（二）部门收入总体情况说明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（三）部门支出总体情况说明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二、部门财政拨款收支情况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（一）财政拨款收支总体情况说明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（二）一般公共预算收支决算情况说明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（三）政府性基金预算收支决算情况说明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三、部门结转结余情况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四、一般公共预算“三公”经费支出情况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五、机关运行经费支出情况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六、政府采购情况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七、其他重要事项的情况</w:t>
      </w:r>
    </w:p>
    <w:p>
      <w:pPr>
        <w:spacing w:line="540" w:lineRule="exact"/>
        <w:ind w:firstLine="640" w:firstLineChars="200"/>
        <w:rPr>
          <w:rFonts w:ascii="仿宋_GB2312" w:eastAsia="仿宋_GB2312"/>
          <w:sz w:val="32"/>
          <w:szCs w:val="32"/>
        </w:rPr>
      </w:pPr>
      <w:bookmarkStart w:id="0" w:name="OLE_LINK94"/>
      <w:bookmarkStart w:id="1" w:name="OLE_LINK95"/>
      <w:r>
        <w:rPr>
          <w:rFonts w:hint="eastAsia" w:ascii="仿宋_GB2312" w:eastAsia="仿宋_GB2312"/>
          <w:sz w:val="32"/>
          <w:szCs w:val="32"/>
        </w:rPr>
        <w:t>（一）国有资产占用情况说明</w:t>
      </w:r>
      <w:bookmarkEnd w:id="0"/>
      <w:bookmarkEnd w:id="1"/>
    </w:p>
    <w:p>
      <w:pPr>
        <w:spacing w:line="540" w:lineRule="exact"/>
        <w:ind w:firstLine="640" w:firstLineChars="200"/>
        <w:rPr>
          <w:rFonts w:ascii="仿宋_GB2312" w:eastAsia="仿宋_GB2312"/>
          <w:sz w:val="32"/>
          <w:szCs w:val="32"/>
        </w:rPr>
      </w:pPr>
      <w:bookmarkStart w:id="2" w:name="OLE_LINK96"/>
      <w:r>
        <w:rPr>
          <w:rFonts w:hint="eastAsia" w:ascii="仿宋_GB2312" w:eastAsia="仿宋_GB2312"/>
          <w:sz w:val="32"/>
          <w:szCs w:val="32"/>
        </w:rPr>
        <w:t>（二）预算绩效情况的说明</w:t>
      </w:r>
      <w:bookmarkEnd w:id="2"/>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第三部分 专业名词解释</w:t>
      </w: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第四部分 部</w:t>
      </w:r>
      <w:r>
        <w:rPr>
          <w:rFonts w:hint="eastAsia" w:ascii="黑体" w:hAnsi="黑体" w:eastAsia="黑体"/>
          <w:sz w:val="32"/>
          <w:szCs w:val="32"/>
        </w:rPr>
        <w:t>门决算公开的8张报表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《收入决算表》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《一般公共预算财政拨款“三公”经费支出决算表》</w:t>
      </w:r>
    </w:p>
    <w:p>
      <w:pPr>
        <w:spacing w:line="540" w:lineRule="exact"/>
        <w:ind w:firstLine="640" w:firstLineChars="200"/>
        <w:rPr>
          <w:rFonts w:ascii="仿宋_GB2312" w:hAnsi="宋体" w:eastAsia="仿宋_GB2312"/>
          <w:sz w:val="32"/>
          <w:szCs w:val="32"/>
        </w:rPr>
      </w:pPr>
      <w:r>
        <w:rPr>
          <w:rFonts w:hint="eastAsia" w:ascii="仿宋_GB2312" w:eastAsia="仿宋_GB2312"/>
          <w:sz w:val="32"/>
          <w:szCs w:val="32"/>
        </w:rPr>
        <w:t>《政府性基金预算财政拨款收入支出决算表》</w:t>
      </w:r>
    </w:p>
    <w:p>
      <w:pPr>
        <w:spacing w:line="540" w:lineRule="exact"/>
        <w:ind w:firstLine="640" w:firstLineChars="200"/>
        <w:rPr>
          <w:rFonts w:ascii="黑体" w:hAnsi="黑体" w:eastAsia="黑体"/>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第一部分 部门单位概况</w:t>
      </w:r>
    </w:p>
    <w:p>
      <w:pPr>
        <w:spacing w:line="54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一、主要职能</w:t>
      </w:r>
    </w:p>
    <w:p>
      <w:pPr>
        <w:spacing w:line="500" w:lineRule="exact"/>
        <w:ind w:firstLine="630"/>
        <w:rPr>
          <w:rFonts w:ascii="仿宋_GB2312" w:eastAsia="仿宋_GB2312"/>
          <w:sz w:val="32"/>
          <w:szCs w:val="32"/>
        </w:rPr>
      </w:pPr>
      <w:r>
        <w:rPr>
          <w:rFonts w:hint="eastAsia" w:ascii="仿宋_GB2312" w:eastAsia="仿宋_GB2312"/>
          <w:sz w:val="32"/>
          <w:szCs w:val="32"/>
        </w:rPr>
        <w:t>1、负责全乡党政行政管理事务。</w:t>
      </w:r>
    </w:p>
    <w:p>
      <w:pPr>
        <w:spacing w:line="500" w:lineRule="exact"/>
        <w:ind w:firstLine="630"/>
        <w:rPr>
          <w:rFonts w:ascii="黑体" w:hAnsi="黑体" w:eastAsia="黑体" w:cs="宋体"/>
          <w:bCs/>
          <w:kern w:val="0"/>
          <w:sz w:val="32"/>
          <w:szCs w:val="32"/>
        </w:rPr>
      </w:pPr>
      <w:r>
        <w:rPr>
          <w:rFonts w:hint="eastAsia" w:ascii="仿宋_GB2312" w:eastAsia="仿宋_GB2312"/>
          <w:sz w:val="32"/>
          <w:szCs w:val="32"/>
        </w:rPr>
        <w:t xml:space="preserve">2、负责全乡经济社会发展、社会事务管理、基层组织建设等全面工作，为全乡各族群众提供社会服务。 </w:t>
      </w:r>
    </w:p>
    <w:p>
      <w:pPr>
        <w:spacing w:line="54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二、机构设置情况</w:t>
      </w:r>
    </w:p>
    <w:p>
      <w:pPr>
        <w:spacing w:line="540" w:lineRule="exact"/>
        <w:ind w:firstLine="640" w:firstLineChars="200"/>
        <w:rPr>
          <w:rFonts w:ascii="仿宋_GB2312" w:hAnsi="宋体" w:eastAsia="仿宋_GB2312" w:cs="宋体"/>
          <w:kern w:val="0"/>
          <w:sz w:val="32"/>
          <w:szCs w:val="32"/>
        </w:rPr>
      </w:pPr>
      <w:bookmarkStart w:id="3" w:name="OLE_LINK51"/>
      <w:r>
        <w:rPr>
          <w:rFonts w:hint="eastAsia" w:ascii="仿宋_GB2312" w:eastAsia="仿宋_GB2312"/>
          <w:sz w:val="32"/>
          <w:szCs w:val="32"/>
        </w:rPr>
        <w:t>从决算单位构成看，</w:t>
      </w:r>
      <w:r>
        <w:rPr>
          <w:rFonts w:ascii="仿宋_GB2312" w:eastAsia="仿宋_GB2312"/>
          <w:sz w:val="32"/>
          <w:szCs w:val="32"/>
        </w:rPr>
        <w:t>新疆喀什地区叶城县恰其库木管理区</w:t>
      </w:r>
      <w:r>
        <w:rPr>
          <w:rFonts w:hint="eastAsia" w:ascii="仿宋_GB2312" w:eastAsia="仿宋_GB2312"/>
          <w:sz w:val="32"/>
          <w:szCs w:val="32"/>
        </w:rPr>
        <w:t>部门决算包括：</w:t>
      </w:r>
      <w:r>
        <w:rPr>
          <w:rFonts w:ascii="仿宋_GB2312" w:eastAsia="仿宋_GB2312"/>
          <w:sz w:val="32"/>
          <w:szCs w:val="32"/>
        </w:rPr>
        <w:t>新疆喀什地区叶城县恰其库木管理区</w:t>
      </w:r>
      <w:r>
        <w:rPr>
          <w:rFonts w:hint="eastAsia" w:ascii="仿宋_GB2312" w:eastAsia="仿宋_GB2312"/>
          <w:sz w:val="32"/>
          <w:szCs w:val="32"/>
        </w:rPr>
        <w:t>部门本级决算、所属单位决算等。</w:t>
      </w:r>
    </w:p>
    <w:p>
      <w:pPr>
        <w:spacing w:line="540" w:lineRule="exact"/>
        <w:ind w:firstLine="640" w:firstLineChars="200"/>
        <w:rPr>
          <w:rFonts w:ascii="仿宋_GB2312" w:eastAsia="仿宋_GB2312"/>
          <w:spacing w:val="-6"/>
          <w:sz w:val="32"/>
          <w:szCs w:val="32"/>
        </w:rPr>
      </w:pPr>
      <w:r>
        <w:rPr>
          <w:rFonts w:hint="eastAsia" w:ascii="仿宋_GB2312" w:eastAsia="仿宋_GB2312"/>
          <w:sz w:val="32"/>
          <w:szCs w:val="32"/>
        </w:rPr>
        <w:t>纳入</w:t>
      </w:r>
      <w:r>
        <w:rPr>
          <w:rFonts w:ascii="仿宋_GB2312" w:eastAsia="仿宋_GB2312"/>
          <w:sz w:val="32"/>
          <w:szCs w:val="32"/>
        </w:rPr>
        <w:t>新疆喀什地区叶城县恰其库木管理区</w:t>
      </w:r>
      <w:r>
        <w:rPr>
          <w:rFonts w:hint="eastAsia" w:ascii="仿宋_GB2312" w:eastAsia="仿宋_GB2312"/>
          <w:sz w:val="32"/>
          <w:szCs w:val="32"/>
        </w:rPr>
        <w:t>2018年部门决算编制范围的单位名单见下表</w:t>
      </w:r>
      <w:r>
        <w:rPr>
          <w:rFonts w:hint="eastAsia" w:ascii="仿宋_GB2312" w:eastAsia="仿宋_GB2312"/>
          <w:spacing w:val="-6"/>
          <w:sz w:val="32"/>
          <w:szCs w:val="32"/>
        </w:rPr>
        <w:t>：</w:t>
      </w:r>
      <w:bookmarkEnd w:id="3"/>
    </w:p>
    <w:p>
      <w:pPr>
        <w:spacing w:line="540" w:lineRule="exact"/>
        <w:ind w:firstLine="616" w:firstLineChars="200"/>
        <w:rPr>
          <w:rFonts w:ascii="仿宋_GB2312" w:eastAsia="仿宋_GB2312"/>
          <w:spacing w:val="-6"/>
          <w:sz w:val="32"/>
          <w:szCs w:val="32"/>
        </w:rPr>
      </w:pPr>
    </w:p>
    <w:p>
      <w:pPr>
        <w:spacing w:line="540" w:lineRule="exact"/>
        <w:ind w:firstLine="616" w:firstLineChars="200"/>
        <w:rPr>
          <w:rFonts w:ascii="仿宋_GB2312" w:eastAsia="仿宋_GB2312"/>
          <w:spacing w:val="-6"/>
          <w:sz w:val="32"/>
          <w:szCs w:val="32"/>
        </w:rPr>
      </w:pPr>
    </w:p>
    <w:tbl>
      <w:tblPr>
        <w:tblStyle w:val="7"/>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56"/>
        <w:gridCol w:w="3870"/>
        <w:gridCol w:w="25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3056" w:type="dxa"/>
            <w:vAlign w:val="center"/>
          </w:tcPr>
          <w:p>
            <w:pPr>
              <w:spacing w:line="50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序号</w:t>
            </w:r>
          </w:p>
        </w:tc>
        <w:tc>
          <w:tcPr>
            <w:tcW w:w="3870" w:type="dxa"/>
            <w:vAlign w:val="center"/>
          </w:tcPr>
          <w:p>
            <w:pPr>
              <w:spacing w:line="50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单位名称</w:t>
            </w:r>
          </w:p>
        </w:tc>
        <w:tc>
          <w:tcPr>
            <w:tcW w:w="2538" w:type="dxa"/>
            <w:vAlign w:val="center"/>
          </w:tcPr>
          <w:p>
            <w:pPr>
              <w:spacing w:line="500" w:lineRule="exact"/>
              <w:ind w:firstLine="1280" w:firstLineChars="400"/>
              <w:rPr>
                <w:rFonts w:ascii="仿宋_GB2312" w:eastAsia="仿宋_GB2312"/>
                <w:color w:val="000000" w:themeColor="text1"/>
                <w:sz w:val="32"/>
                <w:szCs w:val="32"/>
                <w:highlight w:val="yellow"/>
              </w:rPr>
            </w:pPr>
            <w:r>
              <w:rPr>
                <w:rFonts w:hint="eastAsia" w:ascii="仿宋_GB2312" w:eastAsia="仿宋_GB2312"/>
                <w:color w:val="000000" w:themeColor="text1"/>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56" w:type="dxa"/>
          </w:tcPr>
          <w:p>
            <w:pPr>
              <w:spacing w:line="500" w:lineRule="exact"/>
              <w:ind w:firstLine="640" w:firstLineChars="200"/>
              <w:jc w:val="left"/>
            </w:pPr>
            <w:r>
              <w:rPr>
                <w:rFonts w:ascii="仿宋_GB2312" w:eastAsia="仿宋_GB2312"/>
                <w:position w:val="-1"/>
                <w:sz w:val="32"/>
              </w:rPr>
              <w:t>1</w:t>
            </w:r>
          </w:p>
        </w:tc>
        <w:tc>
          <w:tcPr>
            <w:tcW w:w="3870" w:type="dxa"/>
          </w:tcPr>
          <w:p>
            <w:pPr>
              <w:spacing w:line="500" w:lineRule="exact"/>
              <w:ind w:firstLine="640" w:firstLineChars="200"/>
              <w:jc w:val="left"/>
            </w:pPr>
            <w:r>
              <w:rPr>
                <w:rFonts w:ascii="仿宋_GB2312" w:eastAsia="仿宋_GB2312"/>
                <w:position w:val="-1"/>
                <w:sz w:val="32"/>
              </w:rPr>
              <w:t>新疆喀什地区叶城县恰其库木管理区</w:t>
            </w:r>
          </w:p>
        </w:tc>
        <w:tc>
          <w:tcPr>
            <w:tcW w:w="2538" w:type="dxa"/>
            <w:vAlign w:val="center"/>
          </w:tcPr>
          <w:p>
            <w:pPr>
              <w:spacing w:line="500" w:lineRule="exact"/>
              <w:ind w:firstLine="420" w:firstLineChars="200"/>
              <w:jc w:val="left"/>
            </w:pPr>
          </w:p>
        </w:tc>
      </w:tr>
    </w:tbl>
    <w:p>
      <w:pPr>
        <w:spacing w:line="500" w:lineRule="exact"/>
        <w:rPr>
          <w:rFonts w:ascii="仿宋_GB2312" w:hAnsi="宋体" w:eastAsia="仿宋_GB2312" w:cs="宋体"/>
          <w:kern w:val="0"/>
          <w:sz w:val="32"/>
          <w:szCs w:val="32"/>
        </w:rPr>
      </w:pPr>
    </w:p>
    <w:p>
      <w:pPr>
        <w:spacing w:line="500" w:lineRule="exact"/>
        <w:rPr>
          <w:rFonts w:ascii="仿宋_GB2312" w:hAnsi="宋体" w:eastAsia="仿宋_GB2312" w:cs="宋体"/>
          <w:kern w:val="0"/>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第二部分 部门决算情况说明</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一、部门收支总体情况</w:t>
      </w:r>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（一）部门收入支出决算总体情况说明</w:t>
      </w:r>
    </w:p>
    <w:p>
      <w:pPr>
        <w:spacing w:line="540" w:lineRule="exact"/>
        <w:ind w:firstLine="640" w:firstLineChars="200"/>
        <w:rPr>
          <w:rFonts w:ascii="仿宋_GB2312" w:hAnsi="Calibri" w:eastAsia="仿宋_GB2312"/>
          <w:color w:val="000000" w:themeColor="text1"/>
          <w:sz w:val="32"/>
          <w:szCs w:val="32"/>
          <w:lang w:val="en-GB"/>
        </w:rPr>
      </w:pPr>
      <w:bookmarkStart w:id="4" w:name="OLE_LINK99"/>
      <w:bookmarkStart w:id="5" w:name="OLE_LINK100"/>
      <w:bookmarkStart w:id="6" w:name="OLE_LINK52"/>
      <w:r>
        <w:rPr>
          <w:rFonts w:hint="eastAsia" w:ascii="仿宋_GB2312" w:eastAsia="仿宋_GB2312"/>
          <w:color w:val="000000" w:themeColor="text1"/>
          <w:sz w:val="32"/>
          <w:szCs w:val="32"/>
        </w:rPr>
        <w:t>2018年度收入</w:t>
      </w:r>
      <w:r>
        <w:rPr>
          <w:rFonts w:hint="eastAsia" w:ascii="仿宋_GB2312" w:eastAsia="仿宋_GB2312"/>
          <w:sz w:val="32"/>
          <w:szCs w:val="32"/>
        </w:rPr>
        <w:t>1,650.79</w:t>
      </w:r>
      <w:r>
        <w:rPr>
          <w:rFonts w:hint="eastAsia" w:ascii="仿宋_GB2312" w:eastAsia="仿宋_GB2312"/>
          <w:color w:val="000000" w:themeColor="text1"/>
          <w:sz w:val="32"/>
          <w:szCs w:val="32"/>
        </w:rPr>
        <w:t>万元</w:t>
      </w:r>
      <w:bookmarkEnd w:id="4"/>
      <w:bookmarkEnd w:id="5"/>
      <w:r>
        <w:rPr>
          <w:rFonts w:hint="eastAsia" w:ascii="仿宋_GB2312" w:eastAsia="仿宋_GB2312"/>
          <w:sz w:val="32"/>
          <w:szCs w:val="32"/>
        </w:rPr>
        <w:t>，与上年相比，增加1,422.37万元，增长622.7%，增加的主要原因是：</w:t>
      </w:r>
      <w:r>
        <w:rPr>
          <w:rFonts w:hint="eastAsia" w:ascii="仿宋_GB2312" w:eastAsia="仿宋_GB2312"/>
          <w:color w:val="000000" w:themeColor="text1"/>
          <w:sz w:val="32"/>
          <w:szCs w:val="32"/>
        </w:rPr>
        <w:t>一是增人增资，主要新分人员及人员正常工资晋升及艰边增资；二是项目增加，上级专项在年初预算是无法预知，资金到达后调整追加了预算，如农村基础设施建设、文化体系建设、安居建设、社会等上级专项；</w:t>
      </w:r>
      <w:bookmarkEnd w:id="6"/>
      <w:bookmarkStart w:id="7" w:name="OLE_LINK53"/>
      <w:r>
        <w:rPr>
          <w:rFonts w:hint="eastAsia" w:ascii="仿宋_GB2312" w:eastAsia="仿宋_GB2312"/>
          <w:color w:val="000000" w:themeColor="text1"/>
          <w:sz w:val="32"/>
          <w:szCs w:val="32"/>
        </w:rPr>
        <w:t>支出</w:t>
      </w:r>
      <w:r>
        <w:rPr>
          <w:rFonts w:hint="eastAsia" w:ascii="仿宋_GB2312" w:eastAsia="仿宋_GB2312"/>
          <w:sz w:val="32"/>
          <w:szCs w:val="32"/>
        </w:rPr>
        <w:t>1,650.79</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，与上年相比，增加1,422.37万元，增长622.7%，增加的主要原因是：</w:t>
      </w:r>
      <w:r>
        <w:rPr>
          <w:rFonts w:hint="eastAsia" w:ascii="仿宋_GB2312" w:eastAsia="仿宋_GB2312"/>
          <w:color w:val="000000" w:themeColor="text1"/>
          <w:sz w:val="32"/>
          <w:szCs w:val="32"/>
        </w:rPr>
        <w:t>增人增资，项目增加；</w:t>
      </w:r>
      <w:bookmarkEnd w:id="7"/>
      <w:bookmarkStart w:id="8" w:name="OLE_LINK54"/>
      <w:r>
        <w:rPr>
          <w:rFonts w:hint="eastAsia" w:ascii="仿宋_GB2312" w:eastAsia="仿宋_GB2312"/>
          <w:color w:val="000000" w:themeColor="text1"/>
          <w:sz w:val="32"/>
          <w:szCs w:val="32"/>
        </w:rPr>
        <w:t>结余</w:t>
      </w:r>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，与上年相比，增加0万元，增长0%，增加的主要原因是：本单位无结余</w:t>
      </w:r>
      <w:r>
        <w:rPr>
          <w:rFonts w:ascii="仿宋_GB2312" w:eastAsia="仿宋_GB2312"/>
          <w:color w:val="000000" w:themeColor="text1"/>
          <w:sz w:val="32"/>
          <w:szCs w:val="32"/>
        </w:rPr>
        <w:t>。</w:t>
      </w:r>
      <w:bookmarkEnd w:id="8"/>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（二）部门收入总体情况说明</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本年收入合计</w:t>
      </w:r>
      <w:r>
        <w:rPr>
          <w:rFonts w:hint="eastAsia" w:ascii="仿宋_GB2312" w:eastAsia="仿宋_GB2312"/>
          <w:sz w:val="32"/>
          <w:szCs w:val="32"/>
        </w:rPr>
        <w:t>1,650.79</w:t>
      </w:r>
      <w:r>
        <w:rPr>
          <w:rFonts w:hint="eastAsia" w:ascii="仿宋_GB2312" w:eastAsia="仿宋_GB2312"/>
          <w:color w:val="000000" w:themeColor="text1"/>
          <w:sz w:val="32"/>
          <w:szCs w:val="32"/>
        </w:rPr>
        <w:t>万元，其中：</w:t>
      </w:r>
      <w:bookmarkStart w:id="9" w:name="OLE_LINK1"/>
      <w:r>
        <w:rPr>
          <w:rFonts w:hint="eastAsia" w:ascii="仿宋_GB2312" w:eastAsia="仿宋_GB2312"/>
          <w:color w:val="000000" w:themeColor="text1"/>
          <w:sz w:val="32"/>
          <w:szCs w:val="32"/>
        </w:rPr>
        <w:t>财政拨款收入</w:t>
      </w:r>
      <w:bookmarkEnd w:id="9"/>
      <w:r>
        <w:rPr>
          <w:rFonts w:hint="eastAsia" w:ascii="仿宋_GB2312" w:eastAsia="仿宋_GB2312"/>
          <w:sz w:val="32"/>
          <w:szCs w:val="32"/>
        </w:rPr>
        <w:t>1,638.44</w:t>
      </w:r>
      <w:r>
        <w:rPr>
          <w:rFonts w:hint="eastAsia" w:ascii="仿宋_GB2312" w:eastAsia="仿宋_GB2312"/>
          <w:color w:val="000000" w:themeColor="text1"/>
          <w:sz w:val="32"/>
          <w:szCs w:val="32"/>
        </w:rPr>
        <w:t>万元，占</w:t>
      </w:r>
      <w:r>
        <w:rPr>
          <w:rFonts w:hint="eastAsia" w:ascii="仿宋_GB2312" w:eastAsia="仿宋_GB2312"/>
          <w:sz w:val="32"/>
          <w:szCs w:val="32"/>
        </w:rPr>
        <w:t>99.25%</w:t>
      </w:r>
      <w:r>
        <w:rPr>
          <w:rFonts w:hint="eastAsia" w:ascii="仿宋_GB2312" w:eastAsia="仿宋_GB2312"/>
          <w:color w:val="000000" w:themeColor="text1"/>
          <w:sz w:val="32"/>
          <w:szCs w:val="32"/>
        </w:rPr>
        <w:t>；</w:t>
      </w:r>
      <w:bookmarkStart w:id="10" w:name="OLE_LINK2"/>
      <w:r>
        <w:rPr>
          <w:rFonts w:hint="eastAsia" w:ascii="仿宋_GB2312" w:eastAsia="仿宋_GB2312"/>
          <w:color w:val="000000" w:themeColor="text1"/>
          <w:sz w:val="32"/>
          <w:szCs w:val="32"/>
        </w:rPr>
        <w:t>上级收入</w:t>
      </w:r>
      <w:bookmarkEnd w:id="10"/>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1" w:name="OLE_LINK3"/>
      <w:r>
        <w:rPr>
          <w:rFonts w:hint="eastAsia" w:ascii="仿宋_GB2312" w:eastAsia="仿宋_GB2312"/>
          <w:color w:val="000000" w:themeColor="text1"/>
          <w:sz w:val="32"/>
          <w:szCs w:val="32"/>
        </w:rPr>
        <w:t>事业收入</w:t>
      </w:r>
      <w:bookmarkEnd w:id="11"/>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2" w:name="OLE_LINK4"/>
      <w:r>
        <w:rPr>
          <w:rFonts w:hint="eastAsia" w:ascii="仿宋_GB2312" w:eastAsia="仿宋_GB2312"/>
          <w:color w:val="000000" w:themeColor="text1"/>
          <w:sz w:val="32"/>
          <w:szCs w:val="32"/>
        </w:rPr>
        <w:t>经营收入</w:t>
      </w:r>
      <w:bookmarkEnd w:id="12"/>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3" w:name="OLE_LINK5"/>
      <w:r>
        <w:rPr>
          <w:rFonts w:hint="eastAsia" w:ascii="仿宋_GB2312" w:eastAsia="仿宋_GB2312"/>
          <w:color w:val="000000" w:themeColor="text1"/>
          <w:sz w:val="32"/>
          <w:szCs w:val="32"/>
        </w:rPr>
        <w:t>附属单位缴款</w:t>
      </w:r>
      <w:bookmarkEnd w:id="13"/>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4" w:name="OLE_LINK6"/>
      <w:r>
        <w:rPr>
          <w:rFonts w:hint="eastAsia" w:ascii="仿宋_GB2312" w:eastAsia="仿宋_GB2312"/>
          <w:color w:val="000000" w:themeColor="text1"/>
          <w:sz w:val="32"/>
          <w:szCs w:val="32"/>
        </w:rPr>
        <w:t>其他收入</w:t>
      </w:r>
      <w:bookmarkEnd w:id="14"/>
      <w:r>
        <w:rPr>
          <w:rFonts w:hint="eastAsia" w:ascii="仿宋_GB2312" w:eastAsia="仿宋_GB2312"/>
          <w:sz w:val="32"/>
          <w:szCs w:val="32"/>
        </w:rPr>
        <w:t>12.34</w:t>
      </w:r>
      <w:r>
        <w:rPr>
          <w:rFonts w:hint="eastAsia" w:ascii="仿宋_GB2312" w:eastAsia="仿宋_GB2312"/>
          <w:color w:val="000000" w:themeColor="text1"/>
          <w:sz w:val="32"/>
          <w:szCs w:val="32"/>
        </w:rPr>
        <w:t>万元，占</w:t>
      </w:r>
      <w:r>
        <w:rPr>
          <w:rFonts w:hint="eastAsia" w:ascii="仿宋_GB2312" w:eastAsia="仿宋_GB2312"/>
          <w:sz w:val="32"/>
          <w:szCs w:val="32"/>
        </w:rPr>
        <w:t>0.75%</w:t>
      </w:r>
      <w:r>
        <w:rPr>
          <w:rFonts w:hint="eastAsia" w:ascii="仿宋_GB2312" w:eastAsia="仿宋_GB2312"/>
          <w:color w:val="000000" w:themeColor="text1"/>
          <w:sz w:val="32"/>
          <w:szCs w:val="32"/>
        </w:rPr>
        <w:t>。</w:t>
      </w:r>
    </w:p>
    <w:p>
      <w:pPr>
        <w:spacing w:line="540" w:lineRule="exact"/>
        <w:ind w:firstLine="640" w:firstLineChars="200"/>
        <w:rPr>
          <w:rFonts w:ascii="仿宋_GB2312" w:eastAsia="仿宋_GB2312"/>
          <w:sz w:val="32"/>
          <w:szCs w:val="32"/>
        </w:rPr>
      </w:pPr>
      <w:bookmarkStart w:id="15" w:name="OLE_LINK55"/>
      <w:r>
        <w:rPr>
          <w:rFonts w:hint="eastAsia" w:ascii="仿宋_GB2312" w:eastAsia="仿宋_GB2312"/>
          <w:sz w:val="32"/>
          <w:szCs w:val="32"/>
        </w:rPr>
        <w:t>与年初预算数相比情</w:t>
      </w:r>
      <w:r>
        <w:rPr>
          <w:rFonts w:hint="eastAsia" w:ascii="仿宋_GB2312" w:eastAsia="仿宋_GB2312"/>
          <w:color w:val="000000" w:themeColor="text1"/>
          <w:sz w:val="32"/>
          <w:szCs w:val="32"/>
        </w:rPr>
        <w:t>况：本年收入年初预算数330.25万元</w:t>
      </w:r>
      <w:r>
        <w:rPr>
          <w:rFonts w:hint="eastAsia" w:ascii="仿宋_GB2312" w:eastAsia="仿宋_GB2312"/>
          <w:sz w:val="32"/>
          <w:szCs w:val="32"/>
        </w:rPr>
        <w:t>，决算数1,650.79万元</w:t>
      </w:r>
      <w:r>
        <w:rPr>
          <w:rFonts w:ascii="仿宋_GB2312" w:eastAsia="仿宋_GB2312"/>
          <w:sz w:val="32"/>
          <w:szCs w:val="32"/>
        </w:rPr>
        <w:t>，预决算差异率399.86%，差异主要原因是一是增人增资，主要新分人员及人员正常工资晋升及艰边增资；二是项目增加，上级专项在年初预算是无法预知，资金到达后调整追加了预算，如农村基础设施建设、文化体系建设、安居建设、社会等上级专项。</w:t>
      </w:r>
      <w:bookmarkEnd w:id="15"/>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（三）部门支出总体情况说明</w:t>
      </w:r>
    </w:p>
    <w:p>
      <w:pPr>
        <w:spacing w:line="540" w:lineRule="exact"/>
        <w:ind w:firstLine="640" w:firstLineChars="200"/>
        <w:rPr>
          <w:rFonts w:ascii="仿宋_GB2312" w:eastAsia="仿宋_GB2312"/>
          <w:color w:val="000000" w:themeColor="text1"/>
          <w:spacing w:val="-6"/>
          <w:sz w:val="32"/>
          <w:szCs w:val="32"/>
        </w:rPr>
      </w:pPr>
      <w:bookmarkStart w:id="16" w:name="OLE_LINK7"/>
      <w:r>
        <w:rPr>
          <w:rFonts w:hint="eastAsia" w:ascii="仿宋_GB2312" w:eastAsia="仿宋_GB2312"/>
          <w:color w:val="000000" w:themeColor="text1"/>
          <w:sz w:val="32"/>
          <w:szCs w:val="32"/>
        </w:rPr>
        <w:t>本年支出合计</w:t>
      </w:r>
      <w:bookmarkEnd w:id="16"/>
      <w:r>
        <w:rPr>
          <w:rFonts w:hint="eastAsia" w:ascii="仿宋_GB2312" w:eastAsia="仿宋_GB2312"/>
          <w:sz w:val="32"/>
          <w:szCs w:val="32"/>
        </w:rPr>
        <w:t>1,650.79</w:t>
      </w:r>
      <w:r>
        <w:rPr>
          <w:rFonts w:hint="eastAsia" w:ascii="仿宋_GB2312" w:eastAsia="仿宋_GB2312"/>
          <w:color w:val="000000" w:themeColor="text1"/>
          <w:sz w:val="32"/>
          <w:szCs w:val="32"/>
        </w:rPr>
        <w:t>万元，其中：</w:t>
      </w:r>
      <w:bookmarkStart w:id="17" w:name="OLE_LINK8"/>
      <w:r>
        <w:rPr>
          <w:rFonts w:hint="eastAsia" w:ascii="仿宋_GB2312" w:eastAsia="仿宋_GB2312"/>
          <w:color w:val="000000" w:themeColor="text1"/>
          <w:sz w:val="32"/>
          <w:szCs w:val="32"/>
        </w:rPr>
        <w:t>基本支出</w:t>
      </w:r>
      <w:bookmarkEnd w:id="17"/>
      <w:r>
        <w:rPr>
          <w:rFonts w:hint="eastAsia" w:ascii="仿宋_GB2312" w:eastAsia="仿宋_GB2312"/>
          <w:sz w:val="32"/>
          <w:szCs w:val="32"/>
        </w:rPr>
        <w:t>381.15</w:t>
      </w:r>
      <w:r>
        <w:rPr>
          <w:rFonts w:hint="eastAsia" w:ascii="仿宋_GB2312" w:eastAsia="仿宋_GB2312"/>
          <w:color w:val="000000" w:themeColor="text1"/>
          <w:sz w:val="32"/>
          <w:szCs w:val="32"/>
        </w:rPr>
        <w:t>万元，占</w:t>
      </w:r>
      <w:r>
        <w:rPr>
          <w:rFonts w:hint="eastAsia" w:ascii="仿宋_GB2312" w:eastAsia="仿宋_GB2312"/>
          <w:sz w:val="32"/>
          <w:szCs w:val="32"/>
        </w:rPr>
        <w:t>23.09%</w:t>
      </w:r>
      <w:r>
        <w:rPr>
          <w:rFonts w:hint="eastAsia" w:ascii="仿宋_GB2312" w:eastAsia="仿宋_GB2312"/>
          <w:color w:val="000000" w:themeColor="text1"/>
          <w:sz w:val="32"/>
          <w:szCs w:val="32"/>
        </w:rPr>
        <w:t>；</w:t>
      </w:r>
      <w:bookmarkStart w:id="18" w:name="OLE_LINK9"/>
      <w:r>
        <w:rPr>
          <w:rFonts w:hint="eastAsia" w:ascii="仿宋_GB2312" w:eastAsia="仿宋_GB2312"/>
          <w:color w:val="000000" w:themeColor="text1"/>
          <w:sz w:val="32"/>
          <w:szCs w:val="32"/>
        </w:rPr>
        <w:t>项目支出</w:t>
      </w:r>
      <w:bookmarkEnd w:id="18"/>
      <w:r>
        <w:rPr>
          <w:rFonts w:hint="eastAsia" w:ascii="仿宋_GB2312" w:eastAsia="仿宋_GB2312"/>
          <w:sz w:val="32"/>
          <w:szCs w:val="32"/>
        </w:rPr>
        <w:t>1,269.63</w:t>
      </w:r>
      <w:r>
        <w:rPr>
          <w:rFonts w:hint="eastAsia" w:ascii="仿宋_GB2312" w:eastAsia="仿宋_GB2312"/>
          <w:color w:val="000000" w:themeColor="text1"/>
          <w:sz w:val="32"/>
          <w:szCs w:val="32"/>
        </w:rPr>
        <w:t>万元，占</w:t>
      </w:r>
      <w:r>
        <w:rPr>
          <w:rFonts w:hint="eastAsia" w:ascii="仿宋_GB2312" w:eastAsia="仿宋_GB2312"/>
          <w:sz w:val="32"/>
          <w:szCs w:val="32"/>
        </w:rPr>
        <w:t>76.91%</w:t>
      </w:r>
      <w:r>
        <w:rPr>
          <w:rFonts w:hint="eastAsia" w:ascii="仿宋_GB2312" w:eastAsia="仿宋_GB2312"/>
          <w:color w:val="000000" w:themeColor="text1"/>
          <w:sz w:val="32"/>
          <w:szCs w:val="32"/>
        </w:rPr>
        <w:t>；</w:t>
      </w:r>
      <w:bookmarkStart w:id="19" w:name="OLE_LINK10"/>
      <w:r>
        <w:rPr>
          <w:rFonts w:hint="eastAsia" w:ascii="仿宋_GB2312" w:eastAsia="仿宋_GB2312"/>
          <w:color w:val="000000" w:themeColor="text1"/>
          <w:sz w:val="32"/>
          <w:szCs w:val="32"/>
        </w:rPr>
        <w:t>上缴上级支出</w:t>
      </w:r>
      <w:bookmarkEnd w:id="19"/>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20" w:name="OLE_LINK11"/>
      <w:r>
        <w:rPr>
          <w:rFonts w:hint="eastAsia" w:ascii="仿宋_GB2312" w:eastAsia="仿宋_GB2312"/>
          <w:color w:val="000000" w:themeColor="text1"/>
          <w:spacing w:val="-6"/>
          <w:sz w:val="32"/>
          <w:szCs w:val="32"/>
        </w:rPr>
        <w:t>经营支出</w:t>
      </w:r>
      <w:bookmarkEnd w:id="20"/>
      <w:r>
        <w:rPr>
          <w:rFonts w:hint="eastAsia" w:ascii="仿宋_GB2312" w:eastAsia="仿宋_GB2312"/>
          <w:sz w:val="32"/>
          <w:szCs w:val="32"/>
        </w:rPr>
        <w:t>0</w:t>
      </w:r>
      <w:r>
        <w:rPr>
          <w:rFonts w:hint="eastAsia" w:ascii="仿宋_GB2312" w:eastAsia="仿宋_GB2312"/>
          <w:color w:val="000000" w:themeColor="text1"/>
          <w:spacing w:val="-6"/>
          <w:sz w:val="32"/>
          <w:szCs w:val="32"/>
        </w:rPr>
        <w:t>万元，占</w:t>
      </w:r>
      <w:r>
        <w:rPr>
          <w:rFonts w:hint="eastAsia" w:ascii="仿宋_GB2312" w:eastAsia="仿宋_GB2312"/>
          <w:sz w:val="32"/>
          <w:szCs w:val="32"/>
        </w:rPr>
        <w:t>0%</w:t>
      </w:r>
      <w:r>
        <w:rPr>
          <w:rFonts w:hint="eastAsia" w:ascii="仿宋_GB2312" w:eastAsia="仿宋_GB2312"/>
          <w:color w:val="000000" w:themeColor="text1"/>
          <w:spacing w:val="-6"/>
          <w:sz w:val="32"/>
          <w:szCs w:val="32"/>
        </w:rPr>
        <w:t>；</w:t>
      </w:r>
      <w:bookmarkStart w:id="21" w:name="OLE_LINK12"/>
      <w:r>
        <w:rPr>
          <w:rFonts w:hint="eastAsia" w:ascii="仿宋_GB2312" w:eastAsia="仿宋_GB2312"/>
          <w:color w:val="000000" w:themeColor="text1"/>
          <w:spacing w:val="-6"/>
          <w:sz w:val="32"/>
          <w:szCs w:val="32"/>
        </w:rPr>
        <w:t>对附属单位支出</w:t>
      </w:r>
      <w:bookmarkEnd w:id="21"/>
      <w:r>
        <w:rPr>
          <w:rFonts w:hint="eastAsia" w:ascii="仿宋_GB2312" w:eastAsia="仿宋_GB2312"/>
          <w:sz w:val="32"/>
          <w:szCs w:val="32"/>
        </w:rPr>
        <w:t>0</w:t>
      </w:r>
      <w:r>
        <w:rPr>
          <w:rFonts w:hint="eastAsia" w:ascii="仿宋_GB2312" w:eastAsia="仿宋_GB2312"/>
          <w:color w:val="000000" w:themeColor="text1"/>
          <w:spacing w:val="-6"/>
          <w:sz w:val="32"/>
          <w:szCs w:val="32"/>
        </w:rPr>
        <w:t>万元，占</w:t>
      </w:r>
      <w:r>
        <w:rPr>
          <w:rFonts w:hint="eastAsia" w:ascii="仿宋_GB2312" w:eastAsia="仿宋_GB2312"/>
          <w:sz w:val="32"/>
          <w:szCs w:val="32"/>
        </w:rPr>
        <w:t>0%。</w:t>
      </w:r>
    </w:p>
    <w:p>
      <w:pPr>
        <w:spacing w:line="540" w:lineRule="exact"/>
        <w:ind w:firstLine="640" w:firstLineChars="200"/>
        <w:rPr>
          <w:rFonts w:ascii="仿宋_GB2312" w:eastAsia="仿宋_GB2312"/>
          <w:sz w:val="32"/>
          <w:szCs w:val="32"/>
        </w:rPr>
      </w:pPr>
      <w:bookmarkStart w:id="22" w:name="OLE_LINK56"/>
      <w:r>
        <w:rPr>
          <w:rFonts w:hint="eastAsia" w:ascii="仿宋_GB2312" w:eastAsia="仿宋_GB2312"/>
          <w:color w:val="000000" w:themeColor="text1"/>
          <w:sz w:val="32"/>
          <w:szCs w:val="32"/>
        </w:rPr>
        <w:t>与年初预算数相比情况：本年支出年初预算数330.25万元，</w:t>
      </w:r>
      <w:r>
        <w:rPr>
          <w:rFonts w:hint="eastAsia" w:ascii="仿宋_GB2312" w:eastAsia="仿宋_GB2312"/>
          <w:sz w:val="32"/>
          <w:szCs w:val="32"/>
        </w:rPr>
        <w:t>决算数1,650.79万元</w:t>
      </w:r>
      <w:r>
        <w:rPr>
          <w:rFonts w:ascii="仿宋_GB2312" w:eastAsia="仿宋_GB2312"/>
          <w:sz w:val="32"/>
          <w:szCs w:val="32"/>
        </w:rPr>
        <w:t>，预决算差异率399.86%，差异主要原因是一是增人增资，主要新分人员及人员正常工资晋升及艰边增资；二是项目增加，上级专项在年初预算是无法预知，资金到达后调整追加了预算，如农村基础设施建设、文化体系建设、安居建设、社会等上级专项。</w:t>
      </w:r>
    </w:p>
    <w:bookmarkEnd w:id="22"/>
    <w:p>
      <w:pPr>
        <w:spacing w:line="540" w:lineRule="exact"/>
        <w:ind w:firstLine="640" w:firstLineChars="200"/>
        <w:rPr>
          <w:rFonts w:ascii="黑体" w:hAnsi="黑体" w:eastAsia="黑体"/>
          <w:sz w:val="32"/>
          <w:szCs w:val="32"/>
        </w:rPr>
      </w:pPr>
      <w:r>
        <w:rPr>
          <w:rFonts w:hint="eastAsia" w:ascii="黑体" w:hAnsi="黑体" w:eastAsia="黑体"/>
          <w:sz w:val="32"/>
          <w:szCs w:val="32"/>
        </w:rPr>
        <w:t>二、部门财政拨款收支情况</w:t>
      </w:r>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（一）财政拨款收支总体情况说明</w:t>
      </w:r>
    </w:p>
    <w:p>
      <w:pPr>
        <w:spacing w:line="540" w:lineRule="exact"/>
        <w:ind w:firstLine="640" w:firstLineChars="200"/>
        <w:rPr>
          <w:rFonts w:ascii="仿宋_GB2312" w:eastAsia="仿宋_GB2312"/>
          <w:color w:val="000000" w:themeColor="text1"/>
          <w:sz w:val="32"/>
          <w:szCs w:val="32"/>
        </w:rPr>
      </w:pPr>
      <w:bookmarkStart w:id="23" w:name="OLE_LINK57"/>
      <w:bookmarkStart w:id="24" w:name="OLE_LINK58"/>
      <w:r>
        <w:rPr>
          <w:rFonts w:hint="eastAsia" w:ascii="仿宋_GB2312" w:eastAsia="仿宋_GB2312"/>
          <w:color w:val="000000" w:themeColor="text1"/>
          <w:sz w:val="32"/>
          <w:szCs w:val="32"/>
        </w:rPr>
        <w:t>2018年度</w:t>
      </w:r>
      <w:bookmarkStart w:id="25" w:name="OLE_LINK13"/>
      <w:r>
        <w:rPr>
          <w:rFonts w:hint="eastAsia" w:ascii="仿宋_GB2312" w:eastAsia="仿宋_GB2312"/>
          <w:color w:val="000000" w:themeColor="text1"/>
          <w:sz w:val="32"/>
          <w:szCs w:val="32"/>
        </w:rPr>
        <w:t>财政拨款收入</w:t>
      </w:r>
      <w:bookmarkEnd w:id="25"/>
      <w:r>
        <w:rPr>
          <w:rFonts w:hint="eastAsia" w:ascii="仿宋_GB2312" w:eastAsia="仿宋_GB2312"/>
          <w:sz w:val="32"/>
          <w:szCs w:val="32"/>
        </w:rPr>
        <w:t>1,638.44</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1,410.02万元，增长617.29%，增加的主要原因是：一是增人增资，主要新分人员及人员正常工资晋升及艰边增资；二是项目增加，上级专项在年初预算是无法预知，资金到达后调整追加了预算，如农村基础设施建设、文化体系建设、安居建设、社会等上级专项。</w:t>
      </w:r>
      <w:bookmarkEnd w:id="23"/>
      <w:bookmarkEnd w:id="24"/>
      <w:bookmarkStart w:id="26" w:name="OLE_LINK14"/>
      <w:bookmarkStart w:id="27" w:name="OLE_LINK60"/>
      <w:bookmarkStart w:id="28" w:name="OLE_LINK59"/>
      <w:r>
        <w:rPr>
          <w:rFonts w:hint="eastAsia" w:ascii="仿宋_GB2312" w:eastAsia="仿宋_GB2312"/>
          <w:color w:val="000000" w:themeColor="text1"/>
          <w:sz w:val="32"/>
          <w:szCs w:val="32"/>
        </w:rPr>
        <w:t>财政拨款支出</w:t>
      </w:r>
      <w:bookmarkEnd w:id="26"/>
      <w:r>
        <w:rPr>
          <w:rFonts w:hint="eastAsia" w:ascii="仿宋_GB2312" w:eastAsia="仿宋_GB2312"/>
          <w:sz w:val="32"/>
          <w:szCs w:val="32"/>
        </w:rPr>
        <w:t>1,638.44</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，与上年相比，增加1,410.02万元，增长617.29%，增加的主要原因是：</w:t>
      </w:r>
      <w:r>
        <w:rPr>
          <w:rFonts w:ascii="仿宋_GB2312" w:eastAsia="仿宋_GB2312"/>
          <w:sz w:val="32"/>
          <w:szCs w:val="32"/>
        </w:rPr>
        <w:t>一是增人增资，主要新分人员及人员正常工资晋升及艰边增资；二是项目增加，上级专项在年初预算是无法预知，资金到达后调整追加了预算，如农村基础设施建设、文化体系建设、安居建设、社会等上级专项。</w:t>
      </w:r>
      <w:bookmarkEnd w:id="27"/>
      <w:bookmarkEnd w:id="28"/>
      <w:bookmarkStart w:id="29" w:name="OLE_LINK61"/>
      <w:r>
        <w:rPr>
          <w:rFonts w:hint="eastAsia" w:ascii="仿宋_GB2312" w:eastAsia="仿宋_GB2312"/>
          <w:color w:val="000000" w:themeColor="text1"/>
          <w:sz w:val="32"/>
          <w:szCs w:val="32"/>
        </w:rPr>
        <w:t>其中：</w:t>
      </w:r>
      <w:bookmarkStart w:id="30" w:name="OLE_LINK15"/>
      <w:r>
        <w:rPr>
          <w:rFonts w:hint="eastAsia" w:ascii="仿宋_GB2312" w:eastAsia="仿宋_GB2312"/>
          <w:color w:val="000000" w:themeColor="text1"/>
          <w:sz w:val="32"/>
          <w:szCs w:val="32"/>
        </w:rPr>
        <w:t>基本支出</w:t>
      </w:r>
      <w:bookmarkEnd w:id="30"/>
      <w:r>
        <w:rPr>
          <w:rFonts w:hint="eastAsia" w:ascii="仿宋_GB2312" w:eastAsia="仿宋_GB2312"/>
          <w:sz w:val="32"/>
          <w:szCs w:val="32"/>
        </w:rPr>
        <w:t>381.15</w:t>
      </w:r>
      <w:r>
        <w:rPr>
          <w:rFonts w:hint="eastAsia" w:ascii="仿宋_GB2312" w:eastAsia="仿宋_GB2312"/>
          <w:color w:val="000000" w:themeColor="text1"/>
          <w:sz w:val="32"/>
          <w:szCs w:val="32"/>
        </w:rPr>
        <w:t>万元，项目支出</w:t>
      </w:r>
      <w:r>
        <w:rPr>
          <w:rFonts w:hint="eastAsia" w:ascii="仿宋_GB2312" w:eastAsia="仿宋_GB2312"/>
          <w:sz w:val="32"/>
          <w:szCs w:val="32"/>
        </w:rPr>
        <w:t>1,257.29</w:t>
      </w:r>
      <w:r>
        <w:rPr>
          <w:rFonts w:hint="eastAsia" w:ascii="仿宋_GB2312" w:eastAsia="仿宋_GB2312"/>
          <w:color w:val="000000" w:themeColor="text1"/>
          <w:sz w:val="32"/>
          <w:szCs w:val="32"/>
        </w:rPr>
        <w:t>万元。</w:t>
      </w:r>
      <w:bookmarkStart w:id="31" w:name="OLE_LINK16"/>
      <w:r>
        <w:rPr>
          <w:rFonts w:hint="eastAsia" w:ascii="仿宋_GB2312" w:eastAsia="仿宋_GB2312"/>
          <w:color w:val="000000" w:themeColor="text1"/>
          <w:sz w:val="32"/>
          <w:szCs w:val="32"/>
        </w:rPr>
        <w:t>财政拨款结转结余</w:t>
      </w:r>
      <w:bookmarkEnd w:id="31"/>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，与上年相比，增加0万元，增长0%，增加的主要原因是：本单位无财政拨款结转结余。</w:t>
      </w:r>
      <w:bookmarkEnd w:id="29"/>
    </w:p>
    <w:p>
      <w:pPr>
        <w:spacing w:line="540" w:lineRule="exact"/>
        <w:ind w:firstLine="640" w:firstLineChars="200"/>
        <w:rPr>
          <w:rFonts w:ascii="仿宋_GB2312" w:eastAsia="仿宋_GB2312"/>
          <w:color w:val="000000" w:themeColor="text1"/>
          <w:sz w:val="32"/>
          <w:szCs w:val="32"/>
        </w:rPr>
      </w:pPr>
      <w:bookmarkStart w:id="32" w:name="OLE_LINK62"/>
      <w:r>
        <w:rPr>
          <w:rFonts w:hint="eastAsia" w:ascii="仿宋_GB2312" w:eastAsia="仿宋_GB2312"/>
          <w:color w:val="000000" w:themeColor="text1"/>
          <w:sz w:val="32"/>
          <w:szCs w:val="32"/>
        </w:rPr>
        <w:t>与年初预算数相比情况：财政拨款收入年初预算数</w:t>
      </w:r>
      <w:r>
        <w:rPr>
          <w:rFonts w:ascii="仿宋_GB2312" w:eastAsia="仿宋_GB2312"/>
          <w:color w:val="000000" w:themeColor="text1"/>
          <w:sz w:val="32"/>
          <w:szCs w:val="32"/>
        </w:rPr>
        <w:t>330.25</w:t>
      </w:r>
      <w:r>
        <w:rPr>
          <w:rFonts w:hint="eastAsia" w:ascii="仿宋_GB2312" w:eastAsia="仿宋_GB2312"/>
          <w:color w:val="000000" w:themeColor="text1"/>
          <w:sz w:val="32"/>
          <w:szCs w:val="32"/>
        </w:rPr>
        <w:t>万元，决算数</w:t>
      </w:r>
      <w:r>
        <w:rPr>
          <w:rFonts w:hint="eastAsia" w:ascii="仿宋_GB2312" w:eastAsia="仿宋_GB2312"/>
          <w:sz w:val="32"/>
          <w:szCs w:val="32"/>
        </w:rPr>
        <w:t>1,638.44</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396.12%，差异主要原因是一是增人增资，主要新分人员及人员正常工资晋升及艰边增资；二是项目增加，上级专项在年初预算是无法预知，资金到达后调整追加了预算，如农村基础设施建设、文化体系建设、安居建设、社会等上级专项。</w:t>
      </w:r>
      <w:bookmarkEnd w:id="32"/>
      <w:bookmarkStart w:id="33" w:name="OLE_LINK63"/>
      <w:r>
        <w:rPr>
          <w:rFonts w:hint="eastAsia" w:ascii="仿宋_GB2312" w:eastAsia="仿宋_GB2312"/>
          <w:color w:val="000000" w:themeColor="text1"/>
          <w:sz w:val="32"/>
          <w:szCs w:val="32"/>
        </w:rPr>
        <w:t>财政拨款支出年初预算数</w:t>
      </w:r>
      <w:r>
        <w:rPr>
          <w:rFonts w:ascii="仿宋_GB2312" w:eastAsia="仿宋_GB2312"/>
          <w:color w:val="000000" w:themeColor="text1"/>
          <w:sz w:val="32"/>
          <w:szCs w:val="32"/>
        </w:rPr>
        <w:t>330.25</w:t>
      </w:r>
      <w:r>
        <w:rPr>
          <w:rFonts w:hint="eastAsia" w:ascii="仿宋_GB2312" w:eastAsia="仿宋_GB2312"/>
          <w:color w:val="000000" w:themeColor="text1"/>
          <w:sz w:val="32"/>
          <w:szCs w:val="32"/>
        </w:rPr>
        <w:t>万元，决算数</w:t>
      </w:r>
      <w:r>
        <w:rPr>
          <w:rFonts w:hint="eastAsia" w:ascii="仿宋_GB2312" w:eastAsia="仿宋_GB2312"/>
          <w:sz w:val="32"/>
          <w:szCs w:val="32"/>
        </w:rPr>
        <w:t>1,638.44</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396.12%，差异主要原因是一是增人增资，主要新分人员及人员正常工资晋升及艰边增资；二是项目增加，上级专项在年初预算是无法预知，资金到达后调整追加了预算，如农村基础设施建设、文化体系建设、安居建设、社会等上级专项。</w:t>
      </w:r>
      <w:bookmarkEnd w:id="33"/>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（二）一般公共预算收支决算情况说明</w:t>
      </w:r>
    </w:p>
    <w:p>
      <w:pPr>
        <w:spacing w:line="540" w:lineRule="exact"/>
        <w:ind w:firstLine="640" w:firstLineChars="200"/>
        <w:rPr>
          <w:rFonts w:hint="eastAsia" w:ascii="仿宋_GB2312" w:eastAsia="仿宋_GB2312"/>
          <w:sz w:val="32"/>
          <w:szCs w:val="32"/>
        </w:rPr>
      </w:pPr>
      <w:bookmarkStart w:id="34" w:name="OLE_LINK64"/>
      <w:r>
        <w:rPr>
          <w:rFonts w:hint="eastAsia" w:ascii="仿宋_GB2312" w:eastAsia="仿宋_GB2312"/>
          <w:color w:val="000000" w:themeColor="text1"/>
          <w:sz w:val="32"/>
          <w:szCs w:val="32"/>
        </w:rPr>
        <w:t>2018年度</w:t>
      </w:r>
      <w:bookmarkStart w:id="35" w:name="OLE_LINK17"/>
      <w:r>
        <w:rPr>
          <w:rFonts w:hint="eastAsia" w:ascii="仿宋_GB2312" w:eastAsia="仿宋_GB2312"/>
          <w:color w:val="000000" w:themeColor="text1"/>
          <w:sz w:val="32"/>
          <w:szCs w:val="32"/>
        </w:rPr>
        <w:t>一般公共预算财政拨款收入</w:t>
      </w:r>
      <w:bookmarkEnd w:id="35"/>
      <w:r>
        <w:rPr>
          <w:rFonts w:ascii="仿宋_GB2312" w:eastAsia="仿宋_GB2312"/>
          <w:color w:val="000000" w:themeColor="text1"/>
          <w:sz w:val="32"/>
          <w:szCs w:val="32"/>
        </w:rPr>
        <w:t>1,632.44</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与上年相比，增加1,404.02万元，增长614.67%，增加的主要原因是：一是增人增资，主要新分人员及人员正常工资晋升及艰边增资；二是项目增加，上级专项在年初预算是无法预知，资金到达后调整追加了预算，如农村基础设施建设、文化体系建设、安居建设、社会等上级专项。</w:t>
      </w:r>
      <w:bookmarkEnd w:id="34"/>
      <w:bookmarkStart w:id="36" w:name="OLE_LINK18"/>
      <w:bookmarkStart w:id="37" w:name="OLE_LINK65"/>
      <w:r>
        <w:rPr>
          <w:rFonts w:hint="eastAsia" w:ascii="仿宋_GB2312" w:eastAsia="仿宋_GB2312"/>
          <w:color w:val="000000" w:themeColor="text1"/>
          <w:sz w:val="32"/>
          <w:szCs w:val="32"/>
        </w:rPr>
        <w:t>一般公共预算财政拨款支出</w:t>
      </w:r>
      <w:r>
        <w:rPr>
          <w:rFonts w:hint="eastAsia" w:ascii="仿宋_GB2312" w:eastAsia="仿宋_GB2312"/>
          <w:sz w:val="32"/>
          <w:szCs w:val="32"/>
        </w:rPr>
        <w:t>1,632.44</w:t>
      </w:r>
      <w:r>
        <w:rPr>
          <w:rFonts w:hint="eastAsia" w:ascii="仿宋_GB2312" w:eastAsia="仿宋_GB2312"/>
          <w:color w:val="000000" w:themeColor="text1"/>
          <w:sz w:val="32"/>
          <w:szCs w:val="32"/>
        </w:rPr>
        <w:t>万元</w:t>
      </w:r>
      <w:bookmarkEnd w:id="36"/>
      <w:r>
        <w:rPr>
          <w:rFonts w:hint="eastAsia" w:ascii="仿宋_GB2312" w:eastAsia="仿宋_GB2312"/>
          <w:sz w:val="32"/>
          <w:szCs w:val="32"/>
        </w:rPr>
        <w:t>，与上年相比，增加1,404.02万元，增长614.67%，增加的主要原因是：一是增人增资，主要新分人员及人员正常工资晋升及艰边增资；二是项目增加，上级专项在年初预算是无法预知，资金到达后调整追加了预算，如农村基础设施建设、文化体系建设、安居建设、社会等上级专项。</w:t>
      </w:r>
      <w:bookmarkEnd w:id="37"/>
      <w:r>
        <w:rPr>
          <w:rFonts w:hint="eastAsia" w:ascii="仿宋_GB2312" w:eastAsia="仿宋_GB2312"/>
          <w:color w:val="000000" w:themeColor="text1"/>
          <w:sz w:val="32"/>
          <w:szCs w:val="32"/>
        </w:rPr>
        <w:t>其中：</w:t>
      </w:r>
      <w:bookmarkStart w:id="38" w:name="OLE_LINK19"/>
      <w:r>
        <w:rPr>
          <w:rFonts w:hint="eastAsia" w:ascii="仿宋_GB2312" w:eastAsia="仿宋_GB2312"/>
          <w:color w:val="000000" w:themeColor="text1"/>
          <w:sz w:val="32"/>
          <w:szCs w:val="32"/>
        </w:rPr>
        <w:t>按功能分类科目（按类级科目公开）</w:t>
      </w:r>
      <w:bookmarkEnd w:id="38"/>
      <w:r>
        <w:rPr>
          <w:rFonts w:hint="eastAsia" w:ascii="仿宋_GB2312" w:eastAsia="仿宋_GB2312"/>
          <w:color w:val="000000" w:themeColor="text1"/>
          <w:sz w:val="32"/>
          <w:szCs w:val="32"/>
        </w:rPr>
        <w:t>，</w:t>
      </w:r>
      <w:r>
        <w:rPr>
          <w:rFonts w:hint="eastAsia" w:ascii="仿宋_GB2312" w:eastAsia="仿宋_GB2312"/>
          <w:sz w:val="32"/>
          <w:szCs w:val="32"/>
        </w:rPr>
        <w:t>卫生与计生支出114.18万元,住房保障支出133.15万元,节能支出72.2万元,一般公共服务支出626.65万元,农林水支出160.28万元,交通运输支出0.12万元,其他支出58.53万元,社会保障和就业支出467.32万元。</w:t>
      </w:r>
      <w:bookmarkStart w:id="39" w:name="OLE_LINK20"/>
      <w:bookmarkStart w:id="40" w:name="OLE_LINK21"/>
      <w:r>
        <w:rPr>
          <w:rFonts w:hint="eastAsia" w:ascii="仿宋_GB2312" w:eastAsia="仿宋_GB2312"/>
          <w:sz w:val="32"/>
          <w:szCs w:val="32"/>
        </w:rPr>
        <w:t>按经济分类科目</w:t>
      </w:r>
      <w:bookmarkEnd w:id="39"/>
      <w:r>
        <w:rPr>
          <w:rFonts w:hint="eastAsia" w:ascii="仿宋_GB2312" w:eastAsia="仿宋_GB2312"/>
          <w:sz w:val="32"/>
          <w:szCs w:val="32"/>
        </w:rPr>
        <w:t>（按类级科目公开）</w:t>
      </w:r>
      <w:bookmarkEnd w:id="40"/>
      <w:r>
        <w:rPr>
          <w:rFonts w:hint="eastAsia" w:ascii="仿宋_GB2312" w:eastAsia="仿宋_GB2312"/>
          <w:sz w:val="32"/>
          <w:szCs w:val="32"/>
        </w:rPr>
        <w:t>，工资福利支出373.9万元,商品和服务支出</w:t>
      </w:r>
      <w:r>
        <w:rPr>
          <w:rFonts w:hint="eastAsia" w:ascii="仿宋_GB2312" w:eastAsia="仿宋_GB2312"/>
          <w:sz w:val="32"/>
          <w:szCs w:val="32"/>
          <w:lang w:val="en-US" w:eastAsia="zh-CN"/>
        </w:rPr>
        <w:t>14.06</w:t>
      </w:r>
      <w:r>
        <w:rPr>
          <w:rFonts w:hint="eastAsia" w:ascii="仿宋_GB2312" w:eastAsia="仿宋_GB2312"/>
          <w:sz w:val="32"/>
          <w:szCs w:val="32"/>
        </w:rPr>
        <w:t>万元</w:t>
      </w:r>
      <w:r>
        <w:rPr>
          <w:rFonts w:hint="eastAsia" w:ascii="仿宋_GB2312" w:eastAsia="仿宋_GB2312"/>
          <w:sz w:val="32"/>
          <w:szCs w:val="32"/>
          <w:lang w:eastAsia="zh-CN"/>
        </w:rPr>
        <w:t>，</w:t>
      </w:r>
      <w:r>
        <w:rPr>
          <w:rFonts w:hint="eastAsia" w:ascii="仿宋_GB2312" w:eastAsia="仿宋_GB2312"/>
          <w:sz w:val="32"/>
          <w:szCs w:val="32"/>
        </w:rPr>
        <w:t>对个人和家庭的987.47万元,资本性支出257.01万元。</w:t>
      </w:r>
    </w:p>
    <w:p>
      <w:pPr>
        <w:spacing w:line="540" w:lineRule="exact"/>
        <w:ind w:firstLine="640" w:firstLineChars="200"/>
        <w:rPr>
          <w:rFonts w:ascii="仿宋_GB2312" w:eastAsia="仿宋_GB2312"/>
          <w:color w:val="000000" w:themeColor="text1"/>
          <w:sz w:val="32"/>
          <w:szCs w:val="32"/>
        </w:rPr>
      </w:pPr>
      <w:bookmarkStart w:id="41" w:name="OLE_LINK66"/>
      <w:bookmarkStart w:id="42" w:name="OLE_LINK67"/>
      <w:r>
        <w:rPr>
          <w:rFonts w:hint="eastAsia" w:ascii="仿宋_GB2312" w:eastAsia="仿宋_GB2312"/>
          <w:color w:val="000000" w:themeColor="text1"/>
          <w:sz w:val="32"/>
          <w:szCs w:val="32"/>
        </w:rPr>
        <w:t>与年初预算数相比情况：一般公共预算财政拨款收入年初预算数</w:t>
      </w:r>
      <w:r>
        <w:rPr>
          <w:rFonts w:ascii="仿宋_GB2312" w:eastAsia="仿宋_GB2312"/>
          <w:color w:val="000000" w:themeColor="text1"/>
          <w:sz w:val="32"/>
          <w:szCs w:val="32"/>
        </w:rPr>
        <w:t>330.25</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1,632.44</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394.3%，差异主要原因是一是增人增资，主要新分人员及人员正常工资晋升及艰边增资；二是项目增加，上级专项在年初预算是无法预知，资金到达后调整追加了预算，如农村基础设施建设、文化体系建设、安居建设、社会等上级专项。</w:t>
      </w:r>
      <w:bookmarkEnd w:id="41"/>
      <w:bookmarkEnd w:id="42"/>
      <w:bookmarkStart w:id="43" w:name="OLE_LINK68"/>
      <w:r>
        <w:rPr>
          <w:rFonts w:hint="eastAsia" w:ascii="仿宋_GB2312" w:eastAsia="仿宋_GB2312"/>
          <w:color w:val="000000" w:themeColor="text1"/>
          <w:sz w:val="32"/>
          <w:szCs w:val="32"/>
        </w:rPr>
        <w:t>一般公共预算财政拨款支出年初预算数</w:t>
      </w:r>
      <w:r>
        <w:rPr>
          <w:rFonts w:ascii="仿宋_GB2312" w:eastAsia="仿宋_GB2312"/>
          <w:color w:val="000000" w:themeColor="text1"/>
          <w:sz w:val="32"/>
          <w:szCs w:val="32"/>
        </w:rPr>
        <w:t>330.25</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1,632.44</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394.3%，差异主要原因是一是增人增资，主要新分人员及人员正常工资晋升及艰边增资；二是项目增加，上级专项在年初预算是无法预知，资金到达后调整追加了预算，如农村基础设施建设、文化体系建设、安居建设、社会等上级专项。</w:t>
      </w:r>
      <w:bookmarkEnd w:id="43"/>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（三）政府性基金预算收支决算情况说明</w:t>
      </w:r>
    </w:p>
    <w:p>
      <w:pPr>
        <w:spacing w:line="540" w:lineRule="exact"/>
        <w:ind w:firstLine="640" w:firstLineChars="200"/>
        <w:rPr>
          <w:rFonts w:ascii="仿宋_GB2312" w:eastAsia="仿宋_GB2312"/>
          <w:color w:val="000000" w:themeColor="text1"/>
          <w:sz w:val="32"/>
          <w:szCs w:val="32"/>
        </w:rPr>
      </w:pPr>
      <w:bookmarkStart w:id="44" w:name="OLE_LINK69"/>
      <w:r>
        <w:rPr>
          <w:rFonts w:hint="eastAsia" w:ascii="仿宋_GB2312" w:eastAsia="仿宋_GB2312"/>
          <w:color w:val="000000" w:themeColor="text1"/>
          <w:sz w:val="32"/>
          <w:szCs w:val="32"/>
        </w:rPr>
        <w:t>2018年度</w:t>
      </w:r>
      <w:bookmarkStart w:id="45" w:name="OLE_LINK22"/>
      <w:r>
        <w:rPr>
          <w:rFonts w:hint="eastAsia" w:ascii="仿宋_GB2312" w:eastAsia="仿宋_GB2312"/>
          <w:color w:val="000000" w:themeColor="text1"/>
          <w:sz w:val="32"/>
          <w:szCs w:val="32"/>
        </w:rPr>
        <w:t>政府性基金预算财政拨款收入</w:t>
      </w:r>
      <w:bookmarkEnd w:id="45"/>
      <w:r>
        <w:rPr>
          <w:rFonts w:hint="eastAsia" w:ascii="仿宋_GB2312" w:eastAsia="仿宋_GB2312"/>
          <w:sz w:val="32"/>
          <w:szCs w:val="32"/>
        </w:rPr>
        <w:t>6</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，与上年相比，增加6万元，增长100%，增加的主要原因是：上级专项项目增加。</w:t>
      </w:r>
      <w:bookmarkEnd w:id="44"/>
      <w:bookmarkStart w:id="46" w:name="OLE_LINK23"/>
      <w:bookmarkStart w:id="47" w:name="OLE_LINK70"/>
      <w:r>
        <w:rPr>
          <w:rFonts w:hint="eastAsia" w:ascii="仿宋_GB2312" w:eastAsia="仿宋_GB2312"/>
          <w:color w:val="000000" w:themeColor="text1"/>
          <w:sz w:val="32"/>
          <w:szCs w:val="32"/>
        </w:rPr>
        <w:t>政府性基金预算支出</w:t>
      </w:r>
      <w:bookmarkEnd w:id="46"/>
      <w:r>
        <w:rPr>
          <w:rFonts w:hint="eastAsia" w:ascii="仿宋_GB2312" w:eastAsia="仿宋_GB2312"/>
          <w:sz w:val="32"/>
          <w:szCs w:val="32"/>
        </w:rPr>
        <w:t>6</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，与上年相比，增加6万元，增长100%，增加的主要原因是：上级专项项目增加，上级专项在年初预算是无法预知，资金到达后调整追加了预算，如文化体系建设。</w:t>
      </w:r>
      <w:bookmarkEnd w:id="47"/>
      <w:r>
        <w:rPr>
          <w:rFonts w:hint="eastAsia" w:ascii="仿宋_GB2312" w:eastAsia="仿宋_GB2312"/>
          <w:color w:val="000000" w:themeColor="text1"/>
          <w:sz w:val="32"/>
          <w:szCs w:val="32"/>
        </w:rPr>
        <w:t>其中：</w:t>
      </w:r>
      <w:bookmarkStart w:id="48" w:name="OLE_LINK24"/>
      <w:r>
        <w:rPr>
          <w:rFonts w:hint="eastAsia" w:ascii="仿宋_GB2312" w:eastAsia="仿宋_GB2312"/>
          <w:color w:val="000000" w:themeColor="text1"/>
          <w:sz w:val="32"/>
          <w:szCs w:val="32"/>
        </w:rPr>
        <w:t>按功能分类科目（按类级科目公开）</w:t>
      </w:r>
      <w:bookmarkEnd w:id="48"/>
      <w:r>
        <w:rPr>
          <w:rFonts w:hint="eastAsia" w:ascii="仿宋_GB2312" w:eastAsia="仿宋_GB2312"/>
          <w:color w:val="000000" w:themeColor="text1"/>
          <w:sz w:val="32"/>
          <w:szCs w:val="32"/>
        </w:rPr>
        <w:t>，其他支出6万元。按经济分类科目（按类级科目公开），商品和服务支出6万元。</w:t>
      </w:r>
    </w:p>
    <w:p>
      <w:pPr>
        <w:spacing w:line="540" w:lineRule="exact"/>
        <w:ind w:firstLine="640" w:firstLineChars="200"/>
        <w:rPr>
          <w:rFonts w:ascii="仿宋_GB2312" w:eastAsia="仿宋_GB2312"/>
          <w:color w:val="000000" w:themeColor="text1"/>
          <w:sz w:val="32"/>
          <w:szCs w:val="32"/>
        </w:rPr>
      </w:pPr>
      <w:bookmarkStart w:id="49" w:name="OLE_LINK71"/>
      <w:bookmarkStart w:id="50" w:name="OLE_LINK72"/>
      <w:r>
        <w:rPr>
          <w:rFonts w:hint="eastAsia" w:ascii="仿宋_GB2312" w:eastAsia="仿宋_GB2312"/>
          <w:color w:val="000000" w:themeColor="text1"/>
          <w:sz w:val="32"/>
          <w:szCs w:val="32"/>
        </w:rPr>
        <w:t>与年初预算数相比情况：政府性基金预算财政拨款收入年初预算数0万元，决算数</w:t>
      </w:r>
      <w:r>
        <w:rPr>
          <w:rFonts w:ascii="仿宋_GB2312" w:eastAsia="仿宋_GB2312"/>
          <w:color w:val="000000" w:themeColor="text1"/>
          <w:sz w:val="32"/>
          <w:szCs w:val="32"/>
        </w:rPr>
        <w:t>6</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w:t>
      </w:r>
      <w:r>
        <w:rPr>
          <w:rFonts w:hint="eastAsia" w:ascii="仿宋_GB2312" w:eastAsia="仿宋_GB2312"/>
          <w:color w:val="000000" w:themeColor="text1"/>
          <w:sz w:val="32"/>
          <w:szCs w:val="32"/>
        </w:rPr>
        <w:t>10</w:t>
      </w:r>
      <w:r>
        <w:rPr>
          <w:rFonts w:ascii="仿宋_GB2312" w:eastAsia="仿宋_GB2312"/>
          <w:color w:val="000000" w:themeColor="text1"/>
          <w:sz w:val="32"/>
          <w:szCs w:val="32"/>
        </w:rPr>
        <w:t>0%，差异主要原因是上级专项项目增加，如文化体系建设。</w:t>
      </w:r>
      <w:bookmarkEnd w:id="49"/>
      <w:bookmarkEnd w:id="50"/>
      <w:bookmarkStart w:id="51" w:name="OLE_LINK73"/>
      <w:r>
        <w:rPr>
          <w:rFonts w:hint="eastAsia" w:ascii="仿宋_GB2312" w:eastAsia="仿宋_GB2312"/>
          <w:color w:val="000000" w:themeColor="text1"/>
          <w:sz w:val="32"/>
          <w:szCs w:val="32"/>
        </w:rPr>
        <w:t>政府性基金预算财政拨款支出年初预算数0万元，决算数</w:t>
      </w:r>
      <w:r>
        <w:rPr>
          <w:rFonts w:ascii="仿宋_GB2312" w:eastAsia="仿宋_GB2312"/>
          <w:color w:val="000000" w:themeColor="text1"/>
          <w:sz w:val="32"/>
          <w:szCs w:val="32"/>
        </w:rPr>
        <w:t>6</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w:t>
      </w:r>
      <w:r>
        <w:rPr>
          <w:rFonts w:hint="eastAsia" w:ascii="仿宋_GB2312" w:eastAsia="仿宋_GB2312"/>
          <w:color w:val="000000" w:themeColor="text1"/>
          <w:sz w:val="32"/>
          <w:szCs w:val="32"/>
          <w:lang w:val="en-US" w:eastAsia="zh-CN"/>
        </w:rPr>
        <w:t>10</w:t>
      </w:r>
      <w:r>
        <w:rPr>
          <w:rFonts w:ascii="仿宋_GB2312" w:eastAsia="仿宋_GB2312"/>
          <w:color w:val="000000" w:themeColor="text1"/>
          <w:sz w:val="32"/>
          <w:szCs w:val="32"/>
        </w:rPr>
        <w:t>0%，差异主要原因是上级专项项目增加，上级专项在年初预算是无法预知，资金到达后调整追加了预算，如文化体系建设。</w:t>
      </w:r>
      <w:bookmarkEnd w:id="51"/>
    </w:p>
    <w:p>
      <w:pPr>
        <w:spacing w:line="54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三、部门结转结余情况</w:t>
      </w:r>
    </w:p>
    <w:p>
      <w:pPr>
        <w:spacing w:line="540" w:lineRule="exact"/>
        <w:ind w:firstLine="640" w:firstLineChars="200"/>
        <w:rPr>
          <w:rFonts w:ascii="仿宋_GB2312" w:eastAsia="仿宋_GB2312"/>
          <w:color w:val="000000" w:themeColor="text1"/>
          <w:sz w:val="32"/>
          <w:szCs w:val="32"/>
        </w:rPr>
      </w:pPr>
      <w:bookmarkStart w:id="52" w:name="OLE_LINK25"/>
      <w:bookmarkStart w:id="53" w:name="OLE_LINK26"/>
      <w:r>
        <w:rPr>
          <w:rFonts w:hint="eastAsia" w:ascii="仿宋_GB2312" w:eastAsia="仿宋_GB2312"/>
          <w:color w:val="000000" w:themeColor="text1"/>
          <w:sz w:val="32"/>
          <w:szCs w:val="32"/>
        </w:rPr>
        <w:t>年末结转结余</w:t>
      </w:r>
      <w:bookmarkEnd w:id="52"/>
      <w:bookmarkEnd w:id="53"/>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。与上年相比，增加0万元，增长0%</w:t>
      </w:r>
      <w:r>
        <w:rPr>
          <w:rFonts w:hint="eastAsia" w:ascii="仿宋_GB2312" w:eastAsia="仿宋_GB2312"/>
          <w:color w:val="000000" w:themeColor="text1"/>
          <w:sz w:val="32"/>
          <w:szCs w:val="32"/>
        </w:rPr>
        <w:t>。</w:t>
      </w:r>
    </w:p>
    <w:p>
      <w:pPr>
        <w:spacing w:line="540" w:lineRule="exact"/>
        <w:ind w:firstLine="640" w:firstLineChars="200"/>
        <w:rPr>
          <w:rFonts w:ascii="仿宋_GB2312" w:eastAsia="仿宋_GB2312"/>
          <w:sz w:val="32"/>
          <w:szCs w:val="32"/>
        </w:rPr>
      </w:pPr>
      <w:r>
        <w:rPr>
          <w:rFonts w:hint="eastAsia" w:ascii="仿宋_GB2312" w:eastAsia="仿宋_GB2312"/>
          <w:color w:val="000000" w:themeColor="text1"/>
          <w:sz w:val="32"/>
          <w:szCs w:val="32"/>
        </w:rPr>
        <w:t>其中</w:t>
      </w:r>
      <w:bookmarkStart w:id="54" w:name="OLE_LINK27"/>
      <w:bookmarkStart w:id="55" w:name="OLE_LINK28"/>
      <w:r>
        <w:rPr>
          <w:rFonts w:hint="eastAsia" w:ascii="仿宋_GB2312" w:eastAsia="仿宋_GB2312"/>
          <w:color w:val="000000" w:themeColor="text1"/>
          <w:sz w:val="32"/>
          <w:szCs w:val="32"/>
        </w:rPr>
        <w:t>财政拨款结转结余</w:t>
      </w:r>
      <w:bookmarkEnd w:id="54"/>
      <w:bookmarkEnd w:id="55"/>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。与上年相比，增加0万元，增长0%。</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四、一般公共预算“三公”经费支出情况</w:t>
      </w:r>
    </w:p>
    <w:p>
      <w:pPr>
        <w:spacing w:line="540" w:lineRule="exact"/>
        <w:ind w:firstLine="640" w:firstLineChars="200"/>
        <w:rPr>
          <w:rFonts w:ascii="仿宋_GB2312" w:eastAsia="仿宋_GB2312"/>
          <w:color w:val="000000" w:themeColor="text1"/>
          <w:sz w:val="32"/>
          <w:szCs w:val="32"/>
        </w:rPr>
      </w:pPr>
      <w:bookmarkStart w:id="56" w:name="OLE_LINK74"/>
      <w:r>
        <w:rPr>
          <w:rFonts w:hint="eastAsia" w:ascii="仿宋_GB2312" w:eastAsia="仿宋_GB2312"/>
          <w:color w:val="000000" w:themeColor="text1"/>
          <w:sz w:val="32"/>
          <w:szCs w:val="32"/>
        </w:rPr>
        <w:t>2018年度</w:t>
      </w:r>
      <w:bookmarkStart w:id="57" w:name="OLE_LINK29"/>
      <w:r>
        <w:rPr>
          <w:rFonts w:hint="eastAsia" w:ascii="仿宋_GB2312" w:eastAsia="仿宋_GB2312"/>
          <w:color w:val="000000" w:themeColor="text1"/>
          <w:sz w:val="32"/>
          <w:szCs w:val="32"/>
        </w:rPr>
        <w:t>一般公共预算“三公”经费支出决算</w:t>
      </w:r>
      <w:bookmarkEnd w:id="57"/>
      <w:r>
        <w:rPr>
          <w:rFonts w:hint="eastAsia" w:ascii="仿宋_GB2312" w:eastAsia="仿宋_GB2312"/>
          <w:sz w:val="32"/>
          <w:szCs w:val="32"/>
        </w:rPr>
        <w:t>4.05</w:t>
      </w:r>
      <w:r>
        <w:rPr>
          <w:rFonts w:hint="eastAsia" w:ascii="仿宋_GB2312" w:eastAsia="仿宋_GB2312"/>
          <w:color w:val="000000" w:themeColor="text1"/>
          <w:sz w:val="32"/>
          <w:szCs w:val="32"/>
        </w:rPr>
        <w:t>万元</w:t>
      </w:r>
      <w:r>
        <w:rPr>
          <w:rFonts w:hint="eastAsia" w:ascii="仿宋_GB2312" w:eastAsia="仿宋_GB2312"/>
          <w:sz w:val="32"/>
          <w:szCs w:val="32"/>
        </w:rPr>
        <w:t>，与上年相比，减少0.45万元，下降10%，减少的主要原因是：落实中央、自治区和地区的相关规定，压减支出。</w:t>
      </w:r>
      <w:bookmarkEnd w:id="56"/>
      <w:bookmarkStart w:id="58" w:name="OLE_LINK75"/>
      <w:r>
        <w:rPr>
          <w:rFonts w:hint="eastAsia" w:ascii="仿宋_GB2312" w:eastAsia="仿宋_GB2312"/>
          <w:color w:val="000000" w:themeColor="text1"/>
          <w:sz w:val="32"/>
          <w:szCs w:val="32"/>
        </w:rPr>
        <w:t>其中，</w:t>
      </w:r>
      <w:bookmarkStart w:id="59" w:name="OLE_LINK30"/>
      <w:r>
        <w:rPr>
          <w:rFonts w:hint="eastAsia" w:ascii="仿宋_GB2312" w:eastAsia="仿宋_GB2312"/>
          <w:color w:val="000000" w:themeColor="text1"/>
          <w:sz w:val="32"/>
          <w:szCs w:val="32"/>
        </w:rPr>
        <w:t>因公出国</w:t>
      </w:r>
      <w:r>
        <w:rPr>
          <w:rFonts w:hint="eastAsia" w:ascii="仿宋_GB2312" w:eastAsia="仿宋_GB2312"/>
          <w:color w:val="000000" w:themeColor="text1"/>
          <w:sz w:val="32"/>
          <w:szCs w:val="32"/>
          <w:lang w:eastAsia="zh-CN"/>
        </w:rPr>
        <w:t>（境）</w:t>
      </w:r>
      <w:r>
        <w:rPr>
          <w:rFonts w:hint="eastAsia" w:ascii="仿宋_GB2312" w:eastAsia="仿宋_GB2312"/>
          <w:color w:val="000000" w:themeColor="text1"/>
          <w:sz w:val="32"/>
          <w:szCs w:val="32"/>
        </w:rPr>
        <w:t>费支出</w:t>
      </w:r>
      <w:bookmarkEnd w:id="59"/>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0%，比上年增加0万元，增长0%，增加的主要原因是：本单位无此项支出，与上年一致；</w:t>
      </w:r>
      <w:bookmarkEnd w:id="58"/>
      <w:bookmarkStart w:id="60" w:name="OLE_LINK31"/>
      <w:bookmarkStart w:id="61" w:name="OLE_LINK76"/>
      <w:r>
        <w:rPr>
          <w:rFonts w:hint="eastAsia" w:ascii="仿宋_GB2312" w:eastAsia="仿宋_GB2312"/>
          <w:color w:val="000000" w:themeColor="text1"/>
          <w:sz w:val="32"/>
          <w:szCs w:val="32"/>
        </w:rPr>
        <w:t>公务用车购置及运行维护费支出</w:t>
      </w:r>
      <w:bookmarkEnd w:id="60"/>
      <w:r>
        <w:rPr>
          <w:rFonts w:hint="eastAsia" w:ascii="仿宋_GB2312" w:eastAsia="仿宋_GB2312"/>
          <w:sz w:val="32"/>
          <w:szCs w:val="32"/>
        </w:rPr>
        <w:t>4.05</w:t>
      </w:r>
      <w:r>
        <w:rPr>
          <w:rFonts w:hint="eastAsia" w:ascii="仿宋_GB2312" w:eastAsia="仿宋_GB2312"/>
          <w:color w:val="000000" w:themeColor="text1"/>
          <w:sz w:val="32"/>
          <w:szCs w:val="32"/>
        </w:rPr>
        <w:t>万元，占</w:t>
      </w:r>
      <w:r>
        <w:rPr>
          <w:rFonts w:hint="eastAsia" w:ascii="仿宋_GB2312" w:eastAsia="仿宋_GB2312"/>
          <w:sz w:val="32"/>
          <w:szCs w:val="32"/>
        </w:rPr>
        <w:t>100%，与上年相比，减少0.45万元，下降10%，减少的主要原因是：落实中央、自治区和地区的相关规定，压减支出；</w:t>
      </w:r>
      <w:bookmarkEnd w:id="61"/>
      <w:bookmarkStart w:id="62" w:name="OLE_LINK32"/>
      <w:bookmarkStart w:id="63" w:name="OLE_LINK77"/>
      <w:bookmarkStart w:id="64" w:name="OLE_LINK78"/>
      <w:r>
        <w:rPr>
          <w:rFonts w:hint="eastAsia" w:ascii="仿宋_GB2312" w:eastAsia="仿宋_GB2312"/>
          <w:color w:val="000000" w:themeColor="text1"/>
          <w:sz w:val="32"/>
          <w:szCs w:val="32"/>
        </w:rPr>
        <w:t>公务接待费支出</w:t>
      </w:r>
      <w:bookmarkEnd w:id="62"/>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0%，与比上年增加0万元，增长0%，增加的主要原因是：本单位无此项支出，与上年一致。</w:t>
      </w:r>
      <w:bookmarkEnd w:id="63"/>
      <w:bookmarkEnd w:id="64"/>
      <w:r>
        <w:rPr>
          <w:rFonts w:hint="eastAsia" w:ascii="仿宋_GB2312" w:eastAsia="仿宋_GB2312"/>
          <w:color w:val="000000" w:themeColor="text1"/>
          <w:sz w:val="32"/>
          <w:szCs w:val="32"/>
        </w:rPr>
        <w:t>具体情况如下：</w:t>
      </w:r>
    </w:p>
    <w:p>
      <w:pPr>
        <w:spacing w:line="540" w:lineRule="exact"/>
        <w:ind w:firstLine="640" w:firstLineChars="200"/>
        <w:rPr>
          <w:rFonts w:ascii="仿宋_GB2312" w:eastAsia="仿宋_GB2312"/>
          <w:color w:val="000000" w:themeColor="text1"/>
          <w:sz w:val="32"/>
          <w:szCs w:val="32"/>
        </w:rPr>
      </w:pPr>
      <w:bookmarkStart w:id="65" w:name="OLE_LINK79"/>
      <w:bookmarkStart w:id="66" w:name="OLE_LINK80"/>
      <w:r>
        <w:rPr>
          <w:rFonts w:hint="eastAsia" w:ascii="仿宋_GB2312" w:eastAsia="仿宋_GB2312"/>
          <w:color w:val="000000" w:themeColor="text1"/>
          <w:sz w:val="32"/>
          <w:szCs w:val="32"/>
        </w:rPr>
        <w:t>因公出国</w:t>
      </w:r>
      <w:r>
        <w:rPr>
          <w:rFonts w:hint="eastAsia" w:ascii="仿宋_GB2312" w:eastAsia="仿宋_GB2312"/>
          <w:color w:val="000000" w:themeColor="text1"/>
          <w:sz w:val="32"/>
          <w:szCs w:val="32"/>
          <w:lang w:eastAsia="zh-CN"/>
        </w:rPr>
        <w:t>（境）</w:t>
      </w:r>
      <w:r>
        <w:rPr>
          <w:rFonts w:hint="eastAsia" w:ascii="仿宋_GB2312" w:eastAsia="仿宋_GB2312"/>
          <w:color w:val="000000" w:themeColor="text1"/>
          <w:sz w:val="32"/>
          <w:szCs w:val="32"/>
        </w:rPr>
        <w:t>费支出</w:t>
      </w:r>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新疆喀什地区叶城县恰其库木管理区</w:t>
      </w:r>
      <w:r>
        <w:rPr>
          <w:rFonts w:hint="eastAsia" w:ascii="仿宋_GB2312" w:eastAsia="仿宋_GB2312"/>
          <w:color w:val="000000" w:themeColor="text1"/>
          <w:sz w:val="32"/>
          <w:szCs w:val="32"/>
        </w:rPr>
        <w:t>单位</w:t>
      </w:r>
      <w:bookmarkStart w:id="67" w:name="OLE_LINK33"/>
      <w:r>
        <w:rPr>
          <w:rFonts w:hint="eastAsia" w:ascii="仿宋_GB2312" w:eastAsia="仿宋_GB2312"/>
          <w:color w:val="000000" w:themeColor="text1"/>
          <w:sz w:val="32"/>
          <w:szCs w:val="32"/>
        </w:rPr>
        <w:t>全年</w:t>
      </w:r>
      <w:bookmarkStart w:id="68" w:name="OLE_LINK34"/>
      <w:bookmarkStart w:id="69" w:name="OLE_LINK35"/>
      <w:bookmarkStart w:id="70" w:name="OLE_LINK36"/>
      <w:r>
        <w:rPr>
          <w:rFonts w:hint="eastAsia" w:ascii="仿宋_GB2312" w:eastAsia="仿宋_GB2312"/>
          <w:color w:val="000000" w:themeColor="text1"/>
          <w:sz w:val="32"/>
          <w:szCs w:val="32"/>
        </w:rPr>
        <w:t>使用一般公共预算财政拨款安排的因公出国</w:t>
      </w:r>
      <w:r>
        <w:rPr>
          <w:rFonts w:hint="eastAsia" w:ascii="仿宋_GB2312" w:eastAsia="仿宋_GB2312"/>
          <w:color w:val="000000" w:themeColor="text1"/>
          <w:sz w:val="32"/>
          <w:szCs w:val="32"/>
          <w:lang w:eastAsia="zh-CN"/>
        </w:rPr>
        <w:t>（境）</w:t>
      </w:r>
      <w:r>
        <w:rPr>
          <w:rFonts w:hint="eastAsia" w:ascii="仿宋_GB2312" w:eastAsia="仿宋_GB2312"/>
          <w:color w:val="000000" w:themeColor="text1"/>
          <w:sz w:val="32"/>
          <w:szCs w:val="32"/>
        </w:rPr>
        <w:t>团组</w:t>
      </w:r>
      <w:bookmarkEnd w:id="67"/>
      <w:bookmarkEnd w:id="68"/>
      <w:bookmarkEnd w:id="69"/>
      <w:r>
        <w:rPr>
          <w:rFonts w:hint="eastAsia" w:ascii="仿宋_GB2312" w:eastAsia="仿宋_GB2312"/>
          <w:sz w:val="32"/>
          <w:szCs w:val="32"/>
        </w:rPr>
        <w:t>0</w:t>
      </w:r>
      <w:r>
        <w:rPr>
          <w:rFonts w:hint="eastAsia" w:ascii="仿宋_GB2312" w:eastAsia="仿宋_GB2312"/>
          <w:color w:val="000000" w:themeColor="text1"/>
          <w:sz w:val="32"/>
          <w:szCs w:val="32"/>
        </w:rPr>
        <w:t>个</w:t>
      </w:r>
      <w:bookmarkEnd w:id="70"/>
      <w:r>
        <w:rPr>
          <w:rFonts w:hint="eastAsia" w:ascii="仿宋_GB2312" w:eastAsia="仿宋_GB2312"/>
          <w:color w:val="000000" w:themeColor="text1"/>
          <w:sz w:val="32"/>
          <w:szCs w:val="32"/>
        </w:rPr>
        <w:t>，</w:t>
      </w:r>
      <w:bookmarkStart w:id="71" w:name="OLE_LINK37"/>
      <w:r>
        <w:rPr>
          <w:rFonts w:hint="eastAsia" w:ascii="仿宋_GB2312" w:eastAsia="仿宋_GB2312"/>
          <w:color w:val="000000" w:themeColor="text1"/>
          <w:sz w:val="32"/>
          <w:szCs w:val="32"/>
        </w:rPr>
        <w:t>累计</w:t>
      </w:r>
      <w:r>
        <w:rPr>
          <w:rFonts w:hint="eastAsia" w:ascii="仿宋_GB2312" w:eastAsia="仿宋_GB2312"/>
          <w:sz w:val="32"/>
          <w:szCs w:val="32"/>
        </w:rPr>
        <w:t>0</w:t>
      </w:r>
      <w:r>
        <w:rPr>
          <w:rFonts w:hint="eastAsia" w:ascii="仿宋_GB2312" w:eastAsia="仿宋_GB2312"/>
          <w:color w:val="000000" w:themeColor="text1"/>
          <w:sz w:val="32"/>
          <w:szCs w:val="32"/>
        </w:rPr>
        <w:t>人次</w:t>
      </w:r>
      <w:bookmarkEnd w:id="71"/>
      <w:r>
        <w:rPr>
          <w:rFonts w:hint="eastAsia" w:ascii="仿宋_GB2312" w:eastAsia="仿宋_GB2312"/>
          <w:color w:val="000000" w:themeColor="text1"/>
          <w:sz w:val="32"/>
          <w:szCs w:val="32"/>
        </w:rPr>
        <w:t>。</w:t>
      </w:r>
      <w:bookmarkStart w:id="72" w:name="OLE_LINK38"/>
      <w:r>
        <w:rPr>
          <w:rFonts w:hint="eastAsia" w:ascii="仿宋_GB2312" w:eastAsia="仿宋_GB2312"/>
          <w:color w:val="000000" w:themeColor="text1"/>
          <w:sz w:val="32"/>
          <w:szCs w:val="32"/>
        </w:rPr>
        <w:t>开支内容包括：</w:t>
      </w:r>
      <w:r>
        <w:rPr>
          <w:rFonts w:ascii="仿宋_GB2312" w:eastAsia="仿宋_GB2312"/>
          <w:color w:val="000000" w:themeColor="text1"/>
          <w:sz w:val="32"/>
          <w:szCs w:val="32"/>
        </w:rPr>
        <w:t>本单位无此项支出。</w:t>
      </w:r>
      <w:bookmarkEnd w:id="65"/>
      <w:bookmarkEnd w:id="66"/>
      <w:bookmarkEnd w:id="72"/>
    </w:p>
    <w:p>
      <w:pPr>
        <w:spacing w:line="540" w:lineRule="exact"/>
        <w:ind w:firstLine="640" w:firstLineChars="200"/>
        <w:rPr>
          <w:rFonts w:ascii="仿宋_GB2312" w:eastAsia="仿宋_GB2312"/>
          <w:color w:val="000000" w:themeColor="text1"/>
          <w:sz w:val="32"/>
          <w:szCs w:val="32"/>
        </w:rPr>
      </w:pPr>
      <w:bookmarkStart w:id="73" w:name="OLE_LINK81"/>
      <w:r>
        <w:rPr>
          <w:rFonts w:hint="eastAsia" w:ascii="仿宋_GB2312" w:eastAsia="仿宋_GB2312"/>
          <w:color w:val="000000" w:themeColor="text1"/>
          <w:sz w:val="32"/>
          <w:szCs w:val="32"/>
        </w:rPr>
        <w:t>公务用车购置及运行维护费</w:t>
      </w:r>
      <w:r>
        <w:rPr>
          <w:rFonts w:hint="eastAsia" w:ascii="仿宋_GB2312" w:eastAsia="仿宋_GB2312"/>
          <w:sz w:val="32"/>
          <w:szCs w:val="32"/>
        </w:rPr>
        <w:t>4.05</w:t>
      </w:r>
      <w:r>
        <w:rPr>
          <w:rFonts w:hint="eastAsia" w:ascii="仿宋_GB2312" w:eastAsia="仿宋_GB2312"/>
          <w:color w:val="000000" w:themeColor="text1"/>
          <w:sz w:val="32"/>
          <w:szCs w:val="32"/>
        </w:rPr>
        <w:t>万元,其中，</w:t>
      </w:r>
      <w:bookmarkStart w:id="74" w:name="OLE_LINK39"/>
      <w:r>
        <w:rPr>
          <w:rFonts w:hint="eastAsia" w:ascii="仿宋_GB2312" w:eastAsia="仿宋_GB2312"/>
          <w:color w:val="000000" w:themeColor="text1"/>
          <w:sz w:val="32"/>
          <w:szCs w:val="32"/>
        </w:rPr>
        <w:t>公务用车购置</w:t>
      </w:r>
      <w:r>
        <w:rPr>
          <w:rFonts w:hint="eastAsia" w:ascii="仿宋_GB2312" w:eastAsia="仿宋_GB2312"/>
          <w:sz w:val="32"/>
          <w:szCs w:val="32"/>
        </w:rPr>
        <w:t>0</w:t>
      </w:r>
      <w:r>
        <w:rPr>
          <w:rFonts w:hint="eastAsia" w:ascii="仿宋_GB2312" w:eastAsia="仿宋_GB2312"/>
          <w:color w:val="000000" w:themeColor="text1"/>
          <w:sz w:val="32"/>
          <w:szCs w:val="32"/>
        </w:rPr>
        <w:t>万元</w:t>
      </w:r>
      <w:bookmarkEnd w:id="74"/>
      <w:r>
        <w:rPr>
          <w:rFonts w:hint="eastAsia" w:ascii="仿宋_GB2312" w:eastAsia="仿宋_GB2312"/>
          <w:color w:val="000000" w:themeColor="text1"/>
          <w:sz w:val="32"/>
          <w:szCs w:val="32"/>
        </w:rPr>
        <w:t>，</w:t>
      </w:r>
      <w:bookmarkStart w:id="75" w:name="OLE_LINK41"/>
      <w:bookmarkStart w:id="76" w:name="OLE_LINK40"/>
      <w:r>
        <w:rPr>
          <w:rFonts w:hint="eastAsia" w:ascii="仿宋_GB2312" w:eastAsia="仿宋_GB2312"/>
          <w:color w:val="000000" w:themeColor="text1"/>
          <w:sz w:val="32"/>
          <w:szCs w:val="32"/>
        </w:rPr>
        <w:t>公务用车运行维护费</w:t>
      </w:r>
      <w:r>
        <w:rPr>
          <w:rFonts w:hint="eastAsia" w:ascii="仿宋_GB2312" w:eastAsia="仿宋_GB2312"/>
          <w:sz w:val="32"/>
          <w:szCs w:val="32"/>
        </w:rPr>
        <w:t>4.05</w:t>
      </w:r>
      <w:r>
        <w:rPr>
          <w:rFonts w:hint="eastAsia" w:ascii="仿宋_GB2312" w:eastAsia="仿宋_GB2312"/>
          <w:color w:val="000000" w:themeColor="text1"/>
          <w:sz w:val="32"/>
          <w:szCs w:val="32"/>
        </w:rPr>
        <w:t>万元</w:t>
      </w:r>
      <w:bookmarkEnd w:id="75"/>
      <w:bookmarkEnd w:id="76"/>
      <w:r>
        <w:rPr>
          <w:rFonts w:hint="eastAsia" w:ascii="仿宋_GB2312" w:eastAsia="仿宋_GB2312"/>
          <w:color w:val="000000" w:themeColor="text1"/>
          <w:sz w:val="32"/>
          <w:szCs w:val="32"/>
        </w:rPr>
        <w:t>。主要用于车辆燃油费、保险等。</w:t>
      </w:r>
      <w:bookmarkEnd w:id="73"/>
      <w:bookmarkStart w:id="77" w:name="OLE_LINK82"/>
      <w:r>
        <w:rPr>
          <w:rFonts w:hint="eastAsia" w:ascii="仿宋_GB2312" w:eastAsia="仿宋_GB2312"/>
          <w:color w:val="000000" w:themeColor="text1"/>
          <w:sz w:val="32"/>
          <w:szCs w:val="32"/>
        </w:rPr>
        <w:t>单位一般公共财政拨款安排的公务用车购置量</w:t>
      </w:r>
      <w:r>
        <w:rPr>
          <w:rFonts w:hint="eastAsia" w:ascii="仿宋_GB2312" w:eastAsia="仿宋_GB2312"/>
          <w:sz w:val="32"/>
          <w:szCs w:val="32"/>
        </w:rPr>
        <w:t>0</w:t>
      </w:r>
      <w:r>
        <w:rPr>
          <w:rFonts w:hint="eastAsia" w:ascii="仿宋_GB2312" w:eastAsia="仿宋_GB2312"/>
          <w:color w:val="000000" w:themeColor="text1"/>
          <w:sz w:val="32"/>
          <w:szCs w:val="32"/>
        </w:rPr>
        <w:t>辆，保有量为</w:t>
      </w:r>
      <w:r>
        <w:rPr>
          <w:rFonts w:hint="eastAsia" w:ascii="仿宋_GB2312" w:eastAsia="仿宋_GB2312"/>
          <w:sz w:val="32"/>
          <w:szCs w:val="32"/>
        </w:rPr>
        <w:t>4</w:t>
      </w:r>
      <w:r>
        <w:rPr>
          <w:rFonts w:hint="eastAsia" w:ascii="仿宋_GB2312" w:eastAsia="仿宋_GB2312"/>
          <w:color w:val="000000" w:themeColor="text1"/>
          <w:sz w:val="32"/>
          <w:szCs w:val="32"/>
        </w:rPr>
        <w:t>辆。</w:t>
      </w:r>
      <w:bookmarkEnd w:id="77"/>
    </w:p>
    <w:p>
      <w:pPr>
        <w:spacing w:line="540" w:lineRule="exact"/>
        <w:ind w:firstLine="640" w:firstLineChars="200"/>
        <w:rPr>
          <w:rFonts w:ascii="仿宋_GB2312" w:eastAsia="仿宋_GB2312"/>
          <w:color w:val="000000" w:themeColor="text1"/>
          <w:sz w:val="32"/>
          <w:szCs w:val="32"/>
        </w:rPr>
      </w:pPr>
      <w:bookmarkStart w:id="78" w:name="OLE_LINK83"/>
      <w:r>
        <w:rPr>
          <w:rFonts w:hint="eastAsia" w:ascii="仿宋_GB2312" w:eastAsia="仿宋_GB2312"/>
          <w:color w:val="000000" w:themeColor="text1"/>
          <w:sz w:val="32"/>
          <w:szCs w:val="32"/>
        </w:rPr>
        <w:t>公务接待费</w:t>
      </w:r>
      <w:r>
        <w:rPr>
          <w:rFonts w:hint="eastAsia" w:ascii="仿宋_GB2312" w:eastAsia="仿宋_GB2312"/>
          <w:sz w:val="32"/>
          <w:szCs w:val="32"/>
        </w:rPr>
        <w:t>0</w:t>
      </w:r>
      <w:r>
        <w:rPr>
          <w:rFonts w:hint="eastAsia" w:ascii="仿宋_GB2312" w:eastAsia="仿宋_GB2312"/>
          <w:color w:val="000000" w:themeColor="text1"/>
          <w:sz w:val="32"/>
          <w:szCs w:val="32"/>
        </w:rPr>
        <w:t>万元。具体是：国内公务接待支出</w:t>
      </w:r>
      <w:r>
        <w:rPr>
          <w:rFonts w:hint="eastAsia" w:ascii="仿宋_GB2312" w:eastAsia="仿宋_GB2312"/>
          <w:sz w:val="32"/>
          <w:szCs w:val="32"/>
        </w:rPr>
        <w:t>0</w:t>
      </w:r>
      <w:r>
        <w:rPr>
          <w:rFonts w:hint="eastAsia" w:ascii="仿宋_GB2312" w:eastAsia="仿宋_GB2312"/>
          <w:color w:val="000000" w:themeColor="text1"/>
          <w:sz w:val="32"/>
          <w:szCs w:val="32"/>
        </w:rPr>
        <w:t>万元，主要是</w:t>
      </w:r>
      <w:r>
        <w:rPr>
          <w:rFonts w:hint="eastAsia" w:ascii="仿宋_GB2312" w:eastAsia="仿宋_GB2312"/>
          <w:sz w:val="32"/>
          <w:szCs w:val="32"/>
        </w:rPr>
        <w:t>本单位无此项支出，与上年一致</w:t>
      </w:r>
      <w:r>
        <w:rPr>
          <w:rFonts w:hint="eastAsia" w:ascii="仿宋_GB2312" w:eastAsia="仿宋_GB2312"/>
          <w:color w:val="000000" w:themeColor="text1"/>
          <w:sz w:val="32"/>
          <w:szCs w:val="32"/>
        </w:rPr>
        <w:t>。</w:t>
      </w:r>
      <w:bookmarkEnd w:id="78"/>
      <w:bookmarkStart w:id="79" w:name="OLE_LINK84"/>
      <w:r>
        <w:rPr>
          <w:rFonts w:hint="eastAsia" w:ascii="仿宋_GB2312" w:eastAsia="仿宋_GB2312"/>
          <w:sz w:val="32"/>
          <w:szCs w:val="32"/>
        </w:rPr>
        <w:t>新疆喀什地区叶城县恰其库木管理区</w:t>
      </w:r>
      <w:r>
        <w:rPr>
          <w:rFonts w:hint="eastAsia" w:ascii="仿宋_GB2312" w:eastAsia="仿宋_GB2312"/>
          <w:color w:val="000000" w:themeColor="text1"/>
          <w:sz w:val="32"/>
          <w:szCs w:val="32"/>
        </w:rPr>
        <w:t>单位国内公务接待</w:t>
      </w:r>
      <w:r>
        <w:rPr>
          <w:rFonts w:hint="eastAsia" w:ascii="仿宋_GB2312" w:eastAsia="仿宋_GB2312"/>
          <w:sz w:val="32"/>
          <w:szCs w:val="32"/>
        </w:rPr>
        <w:t>0</w:t>
      </w:r>
      <w:r>
        <w:rPr>
          <w:rFonts w:hint="eastAsia" w:ascii="仿宋_GB2312" w:eastAsia="仿宋_GB2312"/>
          <w:color w:val="000000" w:themeColor="text1"/>
          <w:sz w:val="32"/>
          <w:szCs w:val="32"/>
        </w:rPr>
        <w:t>批次，</w:t>
      </w:r>
      <w:r>
        <w:rPr>
          <w:rFonts w:hint="eastAsia" w:ascii="仿宋_GB2312" w:eastAsia="仿宋_GB2312"/>
          <w:sz w:val="32"/>
          <w:szCs w:val="32"/>
        </w:rPr>
        <w:t>0</w:t>
      </w:r>
      <w:r>
        <w:rPr>
          <w:rFonts w:hint="eastAsia" w:ascii="仿宋_GB2312" w:eastAsia="仿宋_GB2312"/>
          <w:color w:val="000000" w:themeColor="text1"/>
          <w:sz w:val="32"/>
          <w:szCs w:val="32"/>
        </w:rPr>
        <w:t>人次。</w:t>
      </w:r>
      <w:bookmarkEnd w:id="79"/>
    </w:p>
    <w:p>
      <w:pPr>
        <w:spacing w:line="540" w:lineRule="exact"/>
        <w:ind w:firstLine="640" w:firstLineChars="200"/>
        <w:rPr>
          <w:rFonts w:ascii="仿宋_GB2312" w:hAnsi="宋体" w:eastAsia="仿宋_GB2312" w:cs="宋体"/>
          <w:color w:val="000000" w:themeColor="text1"/>
          <w:kern w:val="0"/>
          <w:sz w:val="32"/>
          <w:szCs w:val="32"/>
        </w:rPr>
      </w:pPr>
      <w:bookmarkStart w:id="80" w:name="OLE_LINK85"/>
      <w:r>
        <w:rPr>
          <w:rFonts w:hint="eastAsia" w:ascii="仿宋_GB2312" w:eastAsia="仿宋_GB2312"/>
          <w:color w:val="000000" w:themeColor="text1"/>
          <w:sz w:val="32"/>
          <w:szCs w:val="32"/>
        </w:rPr>
        <w:t>与年初预算数相比情况：一般公共预算“三公”经费支出年初预算数</w:t>
      </w:r>
      <w:r>
        <w:rPr>
          <w:rFonts w:ascii="仿宋_GB2312" w:eastAsia="仿宋_GB2312"/>
          <w:color w:val="000000" w:themeColor="text1"/>
          <w:sz w:val="32"/>
          <w:szCs w:val="32"/>
        </w:rPr>
        <w:t>4.05</w:t>
      </w:r>
      <w:r>
        <w:rPr>
          <w:rFonts w:hint="eastAsia" w:ascii="仿宋_GB2312" w:eastAsia="仿宋_GB2312"/>
          <w:color w:val="000000" w:themeColor="text1"/>
          <w:sz w:val="32"/>
          <w:szCs w:val="32"/>
        </w:rPr>
        <w:t>万元，决算数4.05万元</w:t>
      </w:r>
      <w:r>
        <w:rPr>
          <w:rFonts w:ascii="仿宋_GB2312" w:eastAsia="仿宋_GB2312"/>
          <w:color w:val="000000" w:themeColor="text1"/>
          <w:sz w:val="32"/>
          <w:szCs w:val="32"/>
        </w:rPr>
        <w:t>，预决算差异率0%，差异主要原因是预决算无差异。</w:t>
      </w:r>
      <w:bookmarkEnd w:id="80"/>
      <w:bookmarkStart w:id="81" w:name="OLE_LINK86"/>
      <w:bookmarkStart w:id="82" w:name="OLE_LINK87"/>
      <w:r>
        <w:rPr>
          <w:rFonts w:hint="eastAsia" w:ascii="仿宋_GB2312" w:hAnsi="宋体" w:eastAsia="仿宋_GB2312" w:cs="宋体"/>
          <w:color w:val="000000" w:themeColor="text1"/>
          <w:kern w:val="0"/>
          <w:sz w:val="32"/>
          <w:szCs w:val="32"/>
        </w:rPr>
        <w:t>其中：</w:t>
      </w:r>
      <w:r>
        <w:rPr>
          <w:rFonts w:hint="eastAsia" w:ascii="仿宋_GB2312" w:eastAsia="仿宋_GB2312"/>
          <w:color w:val="000000" w:themeColor="text1"/>
          <w:sz w:val="32"/>
          <w:szCs w:val="32"/>
        </w:rPr>
        <w:t>因公出国</w:t>
      </w:r>
      <w:r>
        <w:rPr>
          <w:rFonts w:hint="eastAsia" w:ascii="仿宋_GB2312" w:eastAsia="仿宋_GB2312"/>
          <w:color w:val="000000" w:themeColor="text1"/>
          <w:sz w:val="32"/>
          <w:szCs w:val="32"/>
          <w:lang w:eastAsia="zh-CN"/>
        </w:rPr>
        <w:t>（境）</w:t>
      </w:r>
      <w:r>
        <w:rPr>
          <w:rFonts w:hint="eastAsia" w:ascii="仿宋_GB2312" w:hAnsi="宋体" w:eastAsia="仿宋_GB2312" w:cs="宋体"/>
          <w:color w:val="000000" w:themeColor="text1"/>
          <w:kern w:val="0"/>
          <w:sz w:val="32"/>
          <w:szCs w:val="32"/>
        </w:rPr>
        <w:t>费</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万元，决算数0万元</w:t>
      </w:r>
      <w:r>
        <w:rPr>
          <w:rFonts w:ascii="仿宋_GB2312" w:eastAsia="仿宋_GB2312"/>
          <w:color w:val="000000" w:themeColor="text1"/>
          <w:sz w:val="32"/>
          <w:szCs w:val="32"/>
        </w:rPr>
        <w:t>，预决算差异率0%，差异主要原因是预决算无差异；</w:t>
      </w:r>
      <w:bookmarkEnd w:id="81"/>
      <w:bookmarkEnd w:id="82"/>
      <w:bookmarkStart w:id="83" w:name="OLE_LINK89"/>
      <w:bookmarkStart w:id="84" w:name="OLE_LINK88"/>
      <w:r>
        <w:rPr>
          <w:rFonts w:hint="eastAsia" w:ascii="仿宋_GB2312" w:hAnsi="宋体" w:eastAsia="仿宋_GB2312" w:cs="宋体"/>
          <w:color w:val="000000" w:themeColor="text1"/>
          <w:kern w:val="0"/>
          <w:sz w:val="32"/>
          <w:szCs w:val="32"/>
        </w:rPr>
        <w:t>公务用车购置</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，预决算差异率0%，差异主要原因是预决算无差异；</w:t>
      </w:r>
      <w:bookmarkEnd w:id="83"/>
      <w:bookmarkEnd w:id="84"/>
      <w:bookmarkStart w:id="85" w:name="OLE_LINK90"/>
      <w:r>
        <w:rPr>
          <w:rFonts w:hint="eastAsia" w:ascii="仿宋_GB2312" w:hAnsi="宋体" w:eastAsia="仿宋_GB2312" w:cs="宋体"/>
          <w:color w:val="000000" w:themeColor="text1"/>
          <w:kern w:val="0"/>
          <w:sz w:val="32"/>
          <w:szCs w:val="32"/>
        </w:rPr>
        <w:t>公务用车运行费</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4.05</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4.05</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，预决算差异率0%，差异主要原因是预决算无差异；</w:t>
      </w:r>
      <w:bookmarkEnd w:id="85"/>
      <w:bookmarkStart w:id="86" w:name="OLE_LINK91"/>
      <w:r>
        <w:rPr>
          <w:rFonts w:hint="eastAsia" w:ascii="仿宋_GB2312" w:hAnsi="宋体" w:eastAsia="仿宋_GB2312" w:cs="宋体"/>
          <w:color w:val="000000" w:themeColor="text1"/>
          <w:kern w:val="0"/>
          <w:sz w:val="32"/>
          <w:szCs w:val="32"/>
        </w:rPr>
        <w:t>公务接待费</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万元，决算数0万元</w:t>
      </w:r>
      <w:r>
        <w:rPr>
          <w:rFonts w:ascii="仿宋_GB2312" w:eastAsia="仿宋_GB2312"/>
          <w:color w:val="000000" w:themeColor="text1"/>
          <w:sz w:val="32"/>
          <w:szCs w:val="32"/>
        </w:rPr>
        <w:t>，预决算差异率0%，差异主要原因是</w:t>
      </w:r>
      <w:bookmarkEnd w:id="86"/>
      <w:r>
        <w:rPr>
          <w:rFonts w:ascii="仿宋_GB2312" w:eastAsia="仿宋_GB2312"/>
          <w:color w:val="000000" w:themeColor="text1"/>
          <w:sz w:val="32"/>
          <w:szCs w:val="32"/>
        </w:rPr>
        <w:t>预决算无差异。</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五、机关运行经费支出情况</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2018年度新疆喀什地区叶城县恰其库木管理区机关运行经费支出7.26万元，与上年相比，减少7.26万元，下降50%，减少的主要原因是：</w:t>
      </w:r>
      <w:r>
        <w:rPr>
          <w:rFonts w:hint="eastAsia" w:ascii="仿宋_GB2312" w:eastAsia="仿宋_GB2312"/>
          <w:sz w:val="32"/>
          <w:szCs w:val="32"/>
        </w:rPr>
        <w:t>落实中央、自治区和地区的相关规定，压减支出</w:t>
      </w:r>
      <w:r>
        <w:rPr>
          <w:rFonts w:hint="eastAsia" w:ascii="仿宋_GB2312" w:eastAsia="仿宋_GB2312"/>
          <w:color w:val="000000" w:themeColor="text1"/>
          <w:sz w:val="32"/>
          <w:szCs w:val="32"/>
        </w:rPr>
        <w:t>。</w:t>
      </w:r>
    </w:p>
    <w:p>
      <w:pPr>
        <w:spacing w:line="54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六、政府采购情况</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2018年度</w:t>
      </w:r>
      <w:bookmarkStart w:id="87" w:name="OLE_LINK45"/>
      <w:r>
        <w:rPr>
          <w:rFonts w:hint="eastAsia" w:ascii="仿宋_GB2312" w:eastAsia="仿宋_GB2312"/>
          <w:color w:val="000000" w:themeColor="text1"/>
          <w:sz w:val="32"/>
          <w:szCs w:val="32"/>
        </w:rPr>
        <w:t>政府采购支出总额</w:t>
      </w:r>
      <w:bookmarkEnd w:id="87"/>
      <w:r>
        <w:rPr>
          <w:rFonts w:hint="eastAsia" w:ascii="仿宋_GB2312" w:eastAsia="仿宋_GB2312"/>
          <w:sz w:val="32"/>
          <w:szCs w:val="32"/>
        </w:rPr>
        <w:t>19.08</w:t>
      </w:r>
      <w:r>
        <w:rPr>
          <w:rFonts w:hint="eastAsia" w:ascii="仿宋_GB2312" w:eastAsia="仿宋_GB2312"/>
          <w:color w:val="000000" w:themeColor="text1"/>
          <w:sz w:val="32"/>
          <w:szCs w:val="32"/>
        </w:rPr>
        <w:t>万元，其中：</w:t>
      </w:r>
      <w:bookmarkStart w:id="88" w:name="OLE_LINK46"/>
      <w:r>
        <w:rPr>
          <w:rFonts w:hint="eastAsia" w:ascii="仿宋_GB2312" w:eastAsia="仿宋_GB2312"/>
          <w:color w:val="000000" w:themeColor="text1"/>
          <w:sz w:val="32"/>
          <w:szCs w:val="32"/>
        </w:rPr>
        <w:t>政府采购货物支出</w:t>
      </w:r>
      <w:bookmarkEnd w:id="88"/>
      <w:r>
        <w:rPr>
          <w:rFonts w:hint="eastAsia" w:ascii="仿宋_GB2312" w:eastAsia="仿宋_GB2312"/>
          <w:sz w:val="32"/>
          <w:szCs w:val="32"/>
        </w:rPr>
        <w:t>18.73</w:t>
      </w:r>
      <w:r>
        <w:rPr>
          <w:rFonts w:hint="eastAsia" w:ascii="仿宋_GB2312" w:eastAsia="仿宋_GB2312"/>
          <w:color w:val="000000" w:themeColor="text1"/>
          <w:sz w:val="32"/>
          <w:szCs w:val="32"/>
        </w:rPr>
        <w:t>万元、</w:t>
      </w:r>
      <w:bookmarkStart w:id="89" w:name="OLE_LINK47"/>
      <w:r>
        <w:rPr>
          <w:rFonts w:hint="eastAsia" w:ascii="仿宋_GB2312" w:eastAsia="仿宋_GB2312"/>
          <w:color w:val="000000" w:themeColor="text1"/>
          <w:sz w:val="32"/>
          <w:szCs w:val="32"/>
        </w:rPr>
        <w:t>政府采购工程支出</w:t>
      </w:r>
      <w:bookmarkEnd w:id="89"/>
      <w:r>
        <w:rPr>
          <w:rFonts w:hint="eastAsia" w:ascii="仿宋_GB2312" w:eastAsia="仿宋_GB2312"/>
          <w:sz w:val="32"/>
          <w:szCs w:val="32"/>
        </w:rPr>
        <w:t>0</w:t>
      </w:r>
      <w:r>
        <w:rPr>
          <w:rFonts w:hint="eastAsia" w:ascii="仿宋_GB2312" w:eastAsia="仿宋_GB2312"/>
          <w:color w:val="000000" w:themeColor="text1"/>
          <w:sz w:val="32"/>
          <w:szCs w:val="32"/>
        </w:rPr>
        <w:t>万元、</w:t>
      </w:r>
      <w:bookmarkStart w:id="90" w:name="OLE_LINK48"/>
      <w:r>
        <w:rPr>
          <w:rFonts w:hint="eastAsia" w:ascii="仿宋_GB2312" w:eastAsia="仿宋_GB2312"/>
          <w:color w:val="000000" w:themeColor="text1"/>
          <w:sz w:val="32"/>
          <w:szCs w:val="32"/>
        </w:rPr>
        <w:t>政府采购服务支出</w:t>
      </w:r>
      <w:bookmarkEnd w:id="90"/>
      <w:r>
        <w:rPr>
          <w:rFonts w:hint="eastAsia" w:ascii="仿宋_GB2312" w:eastAsia="仿宋_GB2312"/>
          <w:sz w:val="32"/>
          <w:szCs w:val="32"/>
        </w:rPr>
        <w:t>0.34</w:t>
      </w:r>
      <w:r>
        <w:rPr>
          <w:rFonts w:hint="eastAsia" w:ascii="仿宋_GB2312" w:eastAsia="仿宋_GB2312"/>
          <w:color w:val="000000" w:themeColor="text1"/>
          <w:sz w:val="32"/>
          <w:szCs w:val="32"/>
        </w:rPr>
        <w:t>万元。</w:t>
      </w:r>
    </w:p>
    <w:p>
      <w:pPr>
        <w:spacing w:line="54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七、其他重要事项的情况</w:t>
      </w:r>
    </w:p>
    <w:p>
      <w:pPr>
        <w:spacing w:line="540" w:lineRule="exact"/>
        <w:ind w:firstLine="643" w:firstLineChars="200"/>
        <w:rPr>
          <w:rFonts w:ascii="楷体_GB2312" w:eastAsia="楷体_GB2312"/>
          <w:b/>
          <w:bCs/>
          <w:color w:val="000000" w:themeColor="text1"/>
          <w:sz w:val="32"/>
          <w:szCs w:val="32"/>
        </w:rPr>
      </w:pPr>
      <w:r>
        <w:rPr>
          <w:rFonts w:hint="eastAsia" w:ascii="楷体_GB2312" w:eastAsia="楷体_GB2312"/>
          <w:b/>
          <w:bCs/>
          <w:color w:val="000000" w:themeColor="text1"/>
          <w:sz w:val="32"/>
          <w:szCs w:val="32"/>
        </w:rPr>
        <w:t>（一）国有资产占用情况说明</w:t>
      </w:r>
    </w:p>
    <w:p>
      <w:pPr>
        <w:spacing w:line="540" w:lineRule="exact"/>
        <w:ind w:firstLine="640" w:firstLineChars="200"/>
        <w:rPr>
          <w:rFonts w:ascii="仿宋_GB2312" w:eastAsia="仿宋_GB2312"/>
          <w:color w:val="000000" w:themeColor="text1"/>
          <w:sz w:val="32"/>
          <w:szCs w:val="32"/>
        </w:rPr>
      </w:pPr>
      <w:bookmarkStart w:id="91" w:name="OLE_LINK97"/>
      <w:r>
        <w:rPr>
          <w:rFonts w:hint="eastAsia" w:ascii="仿宋_GB2312" w:eastAsia="仿宋_GB2312"/>
          <w:color w:val="000000" w:themeColor="text1"/>
          <w:sz w:val="32"/>
          <w:szCs w:val="32"/>
        </w:rPr>
        <w:t>截至2018年12月31日，单位共有车辆</w:t>
      </w:r>
      <w:r>
        <w:rPr>
          <w:rFonts w:hint="eastAsia" w:ascii="仿宋_GB2312" w:eastAsia="仿宋_GB2312"/>
          <w:sz w:val="32"/>
          <w:szCs w:val="32"/>
        </w:rPr>
        <w:t>4</w:t>
      </w:r>
      <w:r>
        <w:rPr>
          <w:rFonts w:hint="eastAsia" w:ascii="仿宋_GB2312" w:eastAsia="仿宋_GB2312"/>
          <w:color w:val="000000" w:themeColor="text1"/>
          <w:sz w:val="32"/>
          <w:szCs w:val="32"/>
        </w:rPr>
        <w:t>辆，价值</w:t>
      </w:r>
      <w:r>
        <w:rPr>
          <w:rFonts w:hint="eastAsia" w:ascii="仿宋_GB2312" w:eastAsia="仿宋_GB2312"/>
          <w:sz w:val="32"/>
          <w:szCs w:val="32"/>
        </w:rPr>
        <w:t>33.6</w:t>
      </w:r>
      <w:r>
        <w:rPr>
          <w:rFonts w:hint="eastAsia" w:ascii="仿宋_GB2312" w:eastAsia="仿宋_GB2312"/>
          <w:color w:val="000000" w:themeColor="text1"/>
          <w:sz w:val="32"/>
          <w:szCs w:val="32"/>
        </w:rPr>
        <w:t>万元，其中：部级领导干部用车</w:t>
      </w:r>
      <w:r>
        <w:rPr>
          <w:rFonts w:hint="eastAsia" w:ascii="仿宋_GB2312" w:eastAsia="仿宋_GB2312"/>
          <w:sz w:val="32"/>
          <w:szCs w:val="32"/>
        </w:rPr>
        <w:t>0</w:t>
      </w:r>
      <w:r>
        <w:rPr>
          <w:rFonts w:hint="eastAsia" w:ascii="仿宋_GB2312" w:eastAsia="仿宋_GB2312"/>
          <w:color w:val="000000" w:themeColor="text1"/>
          <w:sz w:val="32"/>
          <w:szCs w:val="32"/>
        </w:rPr>
        <w:t>辆、主要领导干部用车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辆、机要通信用车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辆、应急保障用车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辆、执法执勤用车</w:t>
      </w:r>
      <w:r>
        <w:rPr>
          <w:rFonts w:hint="eastAsia" w:ascii="仿宋_GB2312" w:eastAsia="仿宋_GB2312"/>
          <w:sz w:val="32"/>
          <w:szCs w:val="32"/>
        </w:rPr>
        <w:t>0</w:t>
      </w:r>
      <w:r>
        <w:rPr>
          <w:rFonts w:hint="eastAsia" w:ascii="仿宋_GB2312" w:eastAsia="仿宋_GB2312"/>
          <w:color w:val="000000" w:themeColor="text1"/>
          <w:sz w:val="32"/>
          <w:szCs w:val="32"/>
        </w:rPr>
        <w:t>辆、特种专业技术用车</w:t>
      </w:r>
      <w:r>
        <w:rPr>
          <w:rFonts w:hint="eastAsia" w:ascii="仿宋_GB2312" w:eastAsia="仿宋_GB2312"/>
          <w:sz w:val="32"/>
          <w:szCs w:val="32"/>
        </w:rPr>
        <w:t>0</w:t>
      </w:r>
      <w:r>
        <w:rPr>
          <w:rFonts w:hint="eastAsia" w:ascii="仿宋_GB2312" w:eastAsia="仿宋_GB2312"/>
          <w:color w:val="000000" w:themeColor="text1"/>
          <w:sz w:val="32"/>
          <w:szCs w:val="32"/>
        </w:rPr>
        <w:t>辆、离退休干部用车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辆、其他用车</w:t>
      </w:r>
      <w:r>
        <w:rPr>
          <w:rFonts w:ascii="仿宋_GB2312" w:eastAsia="仿宋_GB2312"/>
          <w:color w:val="000000" w:themeColor="text1"/>
          <w:sz w:val="32"/>
          <w:szCs w:val="32"/>
        </w:rPr>
        <w:t>4</w:t>
      </w:r>
      <w:r>
        <w:rPr>
          <w:rFonts w:hint="eastAsia" w:ascii="仿宋_GB2312" w:eastAsia="仿宋_GB2312"/>
          <w:color w:val="000000" w:themeColor="text1"/>
          <w:sz w:val="32"/>
          <w:szCs w:val="32"/>
        </w:rPr>
        <w:t>辆，其他用车主要是：</w:t>
      </w:r>
      <w:r>
        <w:rPr>
          <w:rFonts w:ascii="仿宋_GB2312" w:eastAsia="仿宋_GB2312"/>
          <w:color w:val="000000" w:themeColor="text1"/>
          <w:sz w:val="32"/>
          <w:szCs w:val="32"/>
        </w:rPr>
        <w:t>单位日常公务用车小轿车3辆车1两；</w:t>
      </w:r>
      <w:r>
        <w:rPr>
          <w:rFonts w:hint="eastAsia" w:ascii="仿宋_GB2312" w:eastAsia="仿宋_GB2312"/>
          <w:color w:val="000000" w:themeColor="text1"/>
          <w:sz w:val="32"/>
          <w:szCs w:val="32"/>
        </w:rPr>
        <w:t>单位价值50万元以上通用设备</w:t>
      </w:r>
      <w:r>
        <w:rPr>
          <w:rFonts w:hint="eastAsia" w:ascii="仿宋_GB2312" w:eastAsia="仿宋_GB2312"/>
          <w:sz w:val="32"/>
          <w:szCs w:val="32"/>
        </w:rPr>
        <w:t>0</w:t>
      </w:r>
      <w:r>
        <w:rPr>
          <w:rFonts w:hint="eastAsia" w:ascii="仿宋_GB2312" w:eastAsia="仿宋_GB2312"/>
          <w:color w:val="000000" w:themeColor="text1"/>
          <w:sz w:val="32"/>
          <w:szCs w:val="32"/>
        </w:rPr>
        <w:t>台（套）、单位价值100万元以上专用设备</w:t>
      </w:r>
      <w:r>
        <w:rPr>
          <w:rFonts w:hint="eastAsia" w:ascii="仿宋_GB2312" w:eastAsia="仿宋_GB2312"/>
          <w:sz w:val="32"/>
          <w:szCs w:val="32"/>
        </w:rPr>
        <w:t>0</w:t>
      </w:r>
      <w:r>
        <w:rPr>
          <w:rFonts w:hint="eastAsia" w:ascii="仿宋_GB2312" w:eastAsia="仿宋_GB2312"/>
          <w:color w:val="000000" w:themeColor="text1"/>
          <w:sz w:val="32"/>
          <w:szCs w:val="32"/>
        </w:rPr>
        <w:t>台（套）。</w:t>
      </w:r>
      <w:bookmarkEnd w:id="91"/>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（二）预算绩效情况的说明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2018年度，本部门单位预算绩效自评情况：</w:t>
      </w:r>
      <w:r>
        <w:rPr>
          <w:rFonts w:ascii="仿宋_GB2312" w:eastAsia="仿宋_GB2312"/>
          <w:sz w:val="32"/>
          <w:szCs w:val="32"/>
        </w:rPr>
        <w:t>本年度开展预算绩效管理和绩效自评工作，以强化单位智能为核心，通过建立科学合理的绩效机制，客观准确的评价我单位项目支出绩效，不断完善绩效评价体系，加强监督检查和考核工作，我单位在实际执行过程中注重结果导向、强调成本绩效、硬化责任约束、不断加强绩效管理伍建设，提升业务素质，提高预算管理水平和政策试试效果，实现预算和绩效管理相匹配，着力提高财政资源配置效率和使用效益，全面提升我单位公共服务水平。恰其库木管理区2018年度部门预算总额为1269.63万元，执行金额为1269.63万元，预算执行率为100%。本次自评共涉及项目数12个，其中已完成项目12个，项目总体完成率为100%，各项目支出管理过程较为规范，预期绩效目标完成情况良好。通过本次自评全面总结了项目实施过程中的经验及不足，为2019年度预算绩效管理工作开展奠定基础。</w:t>
      </w:r>
    </w:p>
    <w:p>
      <w:pPr>
        <w:spacing w:line="540" w:lineRule="exact"/>
        <w:ind w:left="-1" w:right="-1" w:firstLine="646"/>
        <w:jc w:val="left"/>
      </w:pPr>
      <w:r>
        <w:rPr>
          <w:rFonts w:ascii="仿宋_GB2312" w:hAnsi="仿宋_GB2312" w:eastAsia="仿宋_GB2312" w:cs="仿宋_GB2312"/>
          <w:sz w:val="32"/>
        </w:rPr>
        <w:t>1、护林员项目绩效自评综述：根据年初设定的绩效目标，该项目绩效自评得分为94分。项目全年预算数为6.01万元，执行数为6.01万元，完成预算的100%。主要产出和效果：1.产出指标完成情况分析 （1）项目完成数量   项目资金6.01万元，保证恰其库木管理区草原生态保护奖励金项目资金主要用奖励草原生态保护奖励金。（2）项目完成质量项目资金6.01万元，保证用依力克其乡恰其库木管理区草原生态保护奖励金项目资金，有效提高为民办实事的效率，达到了预期目标。（3）项目实施进度该项目已经全部实施完毕。（4）项目成本节约情况该项目为保障和救助类项目，无节约成本情况。 2.效益指标完成情况分析 （1）项目实施的经济效益分析 无 （2）项目实施的社会效益分析。 人居环境不断改善，提高群众满意度 （3）项目实施的生态效益分析无。（4）项目实施的可持续影响分析。项目实施的可持续影响分析。该项目的顺利实施，能明显提升全乡困难群众的基本生活水平，增强群众的幸福指数，提升群众基础。 3.满意度指标完成情况分析 经过项目实施后的调研，群众对于该项目的满意率为95%。发现的问题及原因：村级申报资金不及时，不能按时按要求提供上报信息数据。下一步改进措施： 提高村级申报资金的准确性及及时性。</w:t>
      </w:r>
    </w:p>
    <w:p>
      <w:pPr>
        <w:spacing w:line="540" w:lineRule="exact"/>
        <w:ind w:left="-1" w:right="-1" w:firstLine="646"/>
        <w:jc w:val="left"/>
      </w:pPr>
      <w:r>
        <w:rPr>
          <w:rFonts w:ascii="仿宋_GB2312" w:hAnsi="仿宋_GB2312" w:eastAsia="仿宋_GB2312" w:cs="仿宋_GB2312"/>
          <w:sz w:val="32"/>
        </w:rPr>
        <w:t>2、公用经费项目绩效自评综述：根据年初设定的绩效目标，该项目绩效自评得分为93分。项目全年预算数为39.03万元，执行数为39.03万元，完成预算的100%。主要产出和效果：1.产出指标完成情况分析 （1）项目完成数量：项目资金39.03万元，保证恰其库木管理区基本公用经费项目资金主要用于乡政府日常开支。     （2）项目完成质量：项目资金39.03万元，保证用恰其库木管理区基本公用经费项目资金，有效提高为民办实事的效率，达到了预期目标。（3）项目实施进度：该项目已经全部实施完毕。 （4）项目成本节约情况：该项目为保障和救助类项目，无节约成本情况。 2.效益指标完成情况分析 （1）项目实施的经济效益分析 无 （2）项目实施的社会效益分析。加强 工作管理，确保 工作发展 （3）项目实施的生态效益分析：无。 （4）项目实施的可持续影响分析。项目实施的可持续影响分析。该项目的顺利实施，能明显提升全乡困难群众的基本生活水平，增强群众的幸福指数，提升群众基础。 3.满意度指标完成情况分析 经过项目实施后的调研，群众对于该项目的满意率为98%。发现的问题及原因：资金支付手续办理缓慢，报账不及时，经费使用拨付不够及时。下一步改进措施： 加快资金支付手续办理，及时拨付资金。</w:t>
      </w:r>
    </w:p>
    <w:p>
      <w:pPr>
        <w:spacing w:line="540" w:lineRule="exact"/>
        <w:ind w:left="-1" w:right="-1" w:firstLine="646"/>
        <w:jc w:val="left"/>
      </w:pPr>
      <w:r>
        <w:rPr>
          <w:rFonts w:ascii="仿宋_GB2312" w:hAnsi="仿宋_GB2312" w:eastAsia="仿宋_GB2312" w:cs="仿宋_GB2312"/>
          <w:sz w:val="32"/>
        </w:rPr>
        <w:t>3、扶贫工作经费项目绩效自评综述：根据年初设定的绩效目标，该项目绩效自评得分为93分。项目全年预算数为5万元，执行数为5万元，完成预算的100%。主要产出和效果：1.产出指标完成情况分析 （1）项目完成数量：项目资金5万元，保证恰其库木管理区扶贫工作经费项目资金主要用于乡政府扶贫工作站日常开支。     （2）项目完成质量：项目资金5万元，保证用恰其库木管理区扶贫工作经费项目资金，有效提高为民办实事的效率，达到了预期目标。 （3）项目实施进度：该项目已经全部实施完毕。（4）项目成本节约情况：该项目为保障和救助类项目，无节约成本情况。 2.效益指标完成情况分析（1）项目实施的经济效益分析：无。（2）项目实施的社会效益分析。加强工作管理，确保工作发展。（3）项目实施的生态效益分析：无。（4）项目实施的可持续影响分析。项目实施的可持续影响分析。该项目的顺利实施，能明显提升全乡困难群众的基本生活水平，增强群众的幸福指数，提升群众基础。3.满意度指标完成情况分析 经过项目实施后的调研，群众对于该项目的满意率为98%。发现的问题及原因：资金支付手续办理缓慢，报账不及时，经费使用拨付不够及时。下一步改进措施： 加快资金支付手续办理，及时拨付资金。</w:t>
      </w:r>
    </w:p>
    <w:p>
      <w:pPr>
        <w:spacing w:line="540" w:lineRule="exact"/>
        <w:ind w:left="-1" w:right="-1" w:firstLine="646"/>
        <w:jc w:val="left"/>
      </w:pPr>
      <w:r>
        <w:rPr>
          <w:rFonts w:ascii="仿宋_GB2312" w:hAnsi="仿宋_GB2312" w:eastAsia="仿宋_GB2312" w:cs="仿宋_GB2312"/>
          <w:sz w:val="32"/>
        </w:rPr>
        <w:t>4、村运转经费项目绩效自评综述：根据年初设定的绩效目标，该项目绩效自评得分为93分。项目全年预算数为67.05万元，执行数为67.05万元，完成预算的100%。主要产出和效果：1.产出指标完成情况分析 （1）项目完成数量   项目资金67.05万元，保证恰其库木管理区村运转经费项目资金主要用于村委会日常开支。     （2）项目完成质量：项目资金67.05万元，保证用恰其库木管理区村运转经费项目资金，有效提高为民办实事的效率，达到了预期目标。（3）项目实施进度：该项目已经全部实施完毕。（4）项目成本节约情况：该项目为保障和救助类项目，无节约成本情况。 2.效益指标完成情况分析 （1）项目实施的经济效益分析：无。（2）项目实施的社会效益分析。加强工作管理，确保 工作发展 （3）项目实施的生态效益分析：无。（4）项目实施的可持续影响分析。项目实施的可持续影响分析。该项目的顺利实施，能明显提升全乡困难群众的基本生活水平，增强群众的幸福指数，提升群众基础。3.满意度指标完成情况分析 经过项目实施后的调研，群众对于该项目的满意率为9191.26%。发现的问题及原因：经费使用拨付还不够及时，个别村报帐员业务基础差，报帐不及时 。下一步改进措施： 加大对村级报帐员业务培训。</w:t>
      </w:r>
    </w:p>
    <w:p>
      <w:pPr>
        <w:spacing w:line="540" w:lineRule="exact"/>
        <w:ind w:left="-1" w:right="-1" w:firstLine="646"/>
        <w:jc w:val="left"/>
      </w:pPr>
      <w:r>
        <w:rPr>
          <w:rFonts w:ascii="仿宋_GB2312" w:hAnsi="仿宋_GB2312" w:eastAsia="仿宋_GB2312" w:cs="仿宋_GB2312"/>
          <w:sz w:val="32"/>
        </w:rPr>
        <w:t>5、彩票公益金项目绩效自评综述：根据年初设定的绩效目标，该项目绩效自评得分为94分。项目全年预算数为6万元，执行数为6万元，完成预算的100%。主要产出和效果：（1）项目完成数量     恰其库木管理区2018年安居富民项目中央财政下达专项转移支付资金6万元。其中用于6个行政村中建设238户四类人员安居富民房。（2）项目完成质量：该项目严格按照相关要求进行发放，未出现明显质量问题。 （3）项目实施进度：该项目已经全部实施完毕。 （4）项目成本节约情况：该项目类项目，按照标准发放，无节约成本情况。 2.效益指标完成情况分析。（1）项目实施的经济效益分析 因为该项目为资金直接保障类和救助类项目，从资金直观上，着力改善农村农户住房条件，为当地财政减负380.1万元。 （2）项目实施的社会效益分析：该项目的顺利实施，可以保障依力克其乡2018年238户农民住上新的安居富民房。（3）项目实施的生态效益分析：无。（4）项目实施的可持续影响分析。该项目的顺利实施，能明显提升全乡困难群众的基本生活水平，增强群众的幸福指数，提升群众基础。3.满意度指标完成情况分析。经过项目实施后的调研，群众对于该项目的满意率为96%。发现的问题及原因：项目进度推进慢，主要是项目前期准备不够充分下一步改进措施： 加快项目前期准备，提高项目进度。</w:t>
      </w:r>
    </w:p>
    <w:p>
      <w:pPr>
        <w:spacing w:line="540" w:lineRule="exact"/>
        <w:ind w:left="-1" w:right="-1" w:firstLine="646"/>
        <w:jc w:val="left"/>
      </w:pPr>
      <w:r>
        <w:rPr>
          <w:rFonts w:ascii="仿宋_GB2312" w:hAnsi="仿宋_GB2312" w:eastAsia="仿宋_GB2312" w:cs="仿宋_GB2312"/>
          <w:sz w:val="32"/>
        </w:rPr>
        <w:t>6、安居富民项目绩效自评综述：根据年初设定的绩效目标，该项目绩效自评得分为92分。项目全年预算数为107.74万元，执行数为107.74万元，完成预算的100%。主要产出和效果：（1）项目完成数量：恰其库木管理区2018年安居富民项目中央财政下达专项转移支付资金107.74万元。其中用于6个行政村中建设67户四类人员安居富民房。（2）项目完成质量：该项目严格按照相关要求进行发放，未出现明显质量问题。（3）项目实施进度：该项目已经全部实施完毕。（4）项目成本节约情况：该项目类项目，按照标准发放，无节约成本情况。：2.效益指标完成情况分析。（1）项目实施的经济效益分析 因为该项目为资金直接保障类和救助类项目，从资金直观上，着力改善农村农户住房条件，为当地财政减负380.1万元。（2）项目实施的社会效益分析：该项目的顺利实施，可以保障依力克其乡2018年238户农民住上新的安居富民房。 （3）项目实施的生态效益分析：无。（4）项目实施的可持续影响分析。该项目的顺利实施，能明显提升全乡困难群众的基本生活水平，增强群众的幸福指数，提升群众基础。3.满意度指标完成情况分析。 经过项目实施后的调研，群众对于该项目的满意率为96%。发现的问题及原因：项目进度推进慢，主要是项目前期准备不够充分下一步改进措施： 加快项目前期准备，提高项目进。度</w:t>
      </w:r>
    </w:p>
    <w:p>
      <w:pPr>
        <w:spacing w:line="540" w:lineRule="exact"/>
        <w:ind w:left="-1" w:right="-1" w:firstLine="646"/>
        <w:jc w:val="left"/>
      </w:pPr>
      <w:r>
        <w:rPr>
          <w:rFonts w:ascii="仿宋_GB2312" w:hAnsi="仿宋_GB2312" w:eastAsia="仿宋_GB2312" w:cs="仿宋_GB2312"/>
          <w:sz w:val="32"/>
        </w:rPr>
        <w:t>7、</w:t>
      </w:r>
      <w:r>
        <w:rPr>
          <w:rFonts w:hint="eastAsia" w:ascii="仿宋_GB2312" w:hAnsi="仿宋_GB2312" w:eastAsia="仿宋_GB2312" w:cs="仿宋_GB2312"/>
          <w:sz w:val="32"/>
          <w:lang w:eastAsia="zh-CN"/>
        </w:rPr>
        <w:t>民</w:t>
      </w:r>
      <w:r>
        <w:rPr>
          <w:rFonts w:ascii="仿宋_GB2312" w:hAnsi="仿宋_GB2312" w:eastAsia="仿宋_GB2312" w:cs="仿宋_GB2312"/>
          <w:sz w:val="32"/>
        </w:rPr>
        <w:t xml:space="preserve">政资金项目绩效自评综述：根据年初设定的绩效目标，该项目绩效自评得分为91分。项目全年预算数为538.87万元，执行数为538.87万元，完成预算的100%。主要产出和效果：1.产出指标完成情况分析 （1）项目完成数量   项目资金948.56万元，保证恰其库木管理区民政资金主要用于低保户生活。（2）项目完成质量：项目资金948.56万元，保证恰其库木管理区民政资金项目资金主要用于低保户生活。（3）项目实施进度：该项目已经全部实施完毕。（4）项目成本节约情况：该项目为保障和救助类项目，无节约成本情况。2.效益指标完成情况分析 （1）项目实施的经济效益分析 </w:t>
      </w:r>
      <w:r>
        <w:rPr>
          <w:rFonts w:hint="eastAsia" w:ascii="仿宋_GB2312" w:hAnsi="仿宋_GB2312" w:eastAsia="仿宋_GB2312" w:cs="仿宋_GB2312"/>
          <w:sz w:val="32"/>
          <w:lang w:eastAsia="zh-CN"/>
        </w:rPr>
        <w:t>截至</w:t>
      </w:r>
      <w:r>
        <w:rPr>
          <w:rFonts w:ascii="仿宋_GB2312" w:hAnsi="仿宋_GB2312" w:eastAsia="仿宋_GB2312" w:cs="仿宋_GB2312"/>
          <w:sz w:val="32"/>
        </w:rPr>
        <w:t>目前，该项目已全部实施完毕，达到了项目预定绩效各项年度指标值。（2）项目实施的社会效益分析。提高群众生活水平。（3）项目实施的生态效益分析：无。（4）项目实施的可持续影响分析。项目实施的可持续影响分析。该项目的顺利实施，能明显提升全乡困难群众的基本生活水平，增强群众的幸福指数，提升群众基础。 3.满意度指标完成情况分析 经过项目实施后的调研，群众对于该项目的满意率为98%。发现的问题及原因：村级申报资金不及时，不能按时按要求提供上报信息数据。下一步改进措施： 提高村级申报资金的准确性及及时性。</w:t>
      </w:r>
    </w:p>
    <w:p>
      <w:pPr>
        <w:spacing w:line="540" w:lineRule="exact"/>
        <w:ind w:left="-1" w:right="-1" w:firstLine="646"/>
        <w:jc w:val="left"/>
      </w:pPr>
      <w:r>
        <w:rPr>
          <w:rFonts w:ascii="仿宋_GB2312" w:hAnsi="仿宋_GB2312" w:eastAsia="仿宋_GB2312" w:cs="仿宋_GB2312"/>
          <w:sz w:val="32"/>
        </w:rPr>
        <w:t xml:space="preserve">8、组织部经费项目绩效自评综述：根据年初设定的绩效目标，该项目绩效自评得分为92分。项目全年预算数为277.05万元，执行数为277.05万元，完成预算的100%。主要产出和效果：1.产出指标完成情况分析（1）项目完成数量 一是项目完成具体数量为项目资金277.05万元，其中：其中包括“新担当新作为”表彰经费1.8万元、户长14.77万元、村干部报酬105.9万元，小长工资33万元、乡干部绩效5.75万元和乡干部基层补贴62.67万元，工作个人18.94万元，三老人员34.22万元，将人员经费按时发放至个人，保证干部群众的积极性。资金按时发放，保障率达到100%。（2）项目完成质量 该项目严格按照相关要求进行发放，未出现明显质量问题。（3）项目实施进度：该项目已经全部实施完毕。（4）项目成本节约情况：该项目无节约成本情况。2.效益指标完成情况分析（1）项目实施的经济效益分析 </w:t>
      </w:r>
      <w:r>
        <w:rPr>
          <w:rFonts w:hint="eastAsia" w:ascii="仿宋_GB2312" w:hAnsi="仿宋_GB2312" w:eastAsia="仿宋_GB2312" w:cs="仿宋_GB2312"/>
          <w:sz w:val="32"/>
          <w:lang w:eastAsia="zh-CN"/>
        </w:rPr>
        <w:t>截至</w:t>
      </w:r>
      <w:r>
        <w:rPr>
          <w:rFonts w:ascii="仿宋_GB2312" w:hAnsi="仿宋_GB2312" w:eastAsia="仿宋_GB2312" w:cs="仿宋_GB2312"/>
          <w:sz w:val="32"/>
        </w:rPr>
        <w:t>目前，该项目已全部实施完毕，达到了项目预定绩效各项年度指标值。（2）项目实施的社会效益分析：通过干部的发放，提高了干部工作热情，改善了为民办实事的效率。（3）项目实施的生态效益分析：无。 （4）项目实施的可持续影响分析：该项目的顺利实施，能明显提升全乡困难群众的基本生活水平，增强群众的幸福指数，提升群众基础。 3.满意度指标完成情况分析“”经过项目实施后的调研，群众对于该项目的满意率为95%。发现的问题及原因：村级申报资金不及时，不能按时按要求提供上报信息数据。下一步改进措施： 提高村级申报资金的准确性及及时性。</w:t>
      </w:r>
    </w:p>
    <w:p>
      <w:pPr>
        <w:spacing w:line="540" w:lineRule="exact"/>
        <w:ind w:left="-1" w:right="-1" w:firstLine="646"/>
        <w:jc w:val="left"/>
      </w:pPr>
      <w:r>
        <w:rPr>
          <w:rFonts w:ascii="仿宋_GB2312" w:hAnsi="仿宋_GB2312" w:eastAsia="仿宋_GB2312" w:cs="仿宋_GB2312"/>
          <w:sz w:val="32"/>
        </w:rPr>
        <w:t>9、投递员项目绩效自评综述：根据年初设定的绩效目标，该项目绩效自评得分为93分。项目全年预算数为0.12万元，执行数为0.12万元，完成预算的100%。主要产出和效果：1.产出指标完成情况分析（1）项目完成数量项目资金0.12万元，保证恰其库木管理区投递员项目资金主要用于投递员生活。（2）项目完成质量项目资金0.12万元，保证恰其库木管理区投递员项目资金主要用于投递员生活，有效提高为民办实事的效率，达到了预期目标。（3）项目实施进度该项目已经全部实施完毕。（4）项目成本节约情况该项目为保障和救助类项目，无节约成本情况。2.效益指标完成情况分析（1）项目实施的经济效益分析无（2）项目实施的社会效益分析。提高为民服务办事效率 （3）项目实施的生态效益分析无 （4）项目实施的可持续影响分析。项目实施的可持续影响分析。该项目的顺利实施，能明显提升全乡困难群众的基本生活水平，增强群众的幸福指数，提升群众基础。 3.满意度指标完成情况分析 经过项目实施后的调研，群众对于该项目的满意率为98%。发现的问题及原因：加强宣传不足，对专项的意义认识不高。下一步改进措施： 增强宣传，确保财政资金最大社会效益的发挥。</w:t>
      </w:r>
    </w:p>
    <w:p>
      <w:pPr>
        <w:spacing w:line="540" w:lineRule="exact"/>
        <w:ind w:left="-1" w:right="-1" w:firstLine="646"/>
        <w:jc w:val="left"/>
      </w:pPr>
      <w:r>
        <w:rPr>
          <w:rFonts w:ascii="仿宋_GB2312" w:hAnsi="仿宋_GB2312" w:eastAsia="仿宋_GB2312" w:cs="仿宋_GB2312"/>
          <w:sz w:val="32"/>
        </w:rPr>
        <w:t>10、庭院经济项目绩效自评综述：根据年初设定的绩效目标，该项目绩效自评得分为92分。项目全年预算数为149.27万元，执行数为149.27万元，完成预算的100%。主要产出和效果：1.产出指标完成情况分析 （1）项目完成数量。一是项目完成具体数量为：以每亩1000元的实现恰其库木管理区362.7亩土地复垦。二是以每户10000元的资金对113户贫困家庭创造庭院经济条件，县扶贫开发领导小组组织相关部门对项目进行了验收，合格率达100%。（2）项目完成质量 一是项目实施的社会效益分析。2018年实施的庭院经济项目，提高农民收入。二是人居生活环境质量得到明显改善，有效提高农村绿化覆盖面积。（3）项目实施进度。该项目已经全部实施完毕。（4）项目成本节约情况。该项目为保障和救助类项目，无节约成本情况。2.效益指标完成情况分析 （1）项目实施的经济效益分析。</w:t>
      </w:r>
      <w:r>
        <w:rPr>
          <w:rFonts w:hint="eastAsia" w:ascii="仿宋_GB2312" w:hAnsi="仿宋_GB2312" w:eastAsia="仿宋_GB2312" w:cs="仿宋_GB2312"/>
          <w:sz w:val="32"/>
          <w:lang w:eastAsia="zh-CN"/>
        </w:rPr>
        <w:t>截至</w:t>
      </w:r>
      <w:r>
        <w:rPr>
          <w:rFonts w:ascii="仿宋_GB2312" w:hAnsi="仿宋_GB2312" w:eastAsia="仿宋_GB2312" w:cs="仿宋_GB2312"/>
          <w:sz w:val="32"/>
        </w:rPr>
        <w:t>目前，该项目已全部实施完毕，达到了项目预定绩效各项年度指标值。（2）项目实施的社会效益分析。无 （3）项目实施的生态效益分析。无 （4）项目实施的可持续影响分析。项目实施的可持续影响分析。该项目的顺利实施，能明显提升全乡困难群众的基本生活水平，增强群众的幸福指数，提升群众基础。3.满意度指标完成情况分析。经过项目实施后的调研，群众对于该项目的满意率为95%。发现的问题及原因：项目推进较慢，主要是项目前期准备工作不够充分。下一步改进措施： 加快项目前期准备，提高项目进度。</w:t>
      </w:r>
    </w:p>
    <w:p>
      <w:pPr>
        <w:spacing w:line="540" w:lineRule="exact"/>
        <w:ind w:left="-1" w:right="-1" w:firstLine="646"/>
        <w:jc w:val="left"/>
      </w:pPr>
      <w:r>
        <w:rPr>
          <w:rFonts w:ascii="仿宋_GB2312" w:hAnsi="仿宋_GB2312" w:eastAsia="仿宋_GB2312" w:cs="仿宋_GB2312"/>
          <w:sz w:val="32"/>
        </w:rPr>
        <w:t>11、退耕还林项目绩效自评综述：根据年初设定的绩效目标，该项目绩效自评得分为92分。项目全年预算数为72.2万元，执行数为72.2万元，完成预算的100%。主要产出和效果：1.产出指标完成情况分析（1）项目完成数量。项目资金72.2万元，：2，恰其库木管理区退耕还林土地中，的面积为6077亩，农民居住环境得到大大的改善。二是所有资金按时发放到农民手中，极大程度上的促进的农民的积极性。（2）项目完成质量 该项目严格按照相关要求进行发放，未出现明显质量问题。（3）项目实施进度。该项目已经全部实施完毕。（4）项目成本节约情况。该项目为保障和救助类项目，无节约成本情况。2.效益指标完成情况分析（1）项目实施的经济效益分析。无（2）项目实施的社会效益分析。无（3）项目实施的生态效益分析。通过干部的发放，提高增加植被覆盖面积。（4）项目实施的可持续影响分析。项目实施的可持续影响分析。该项目的顺利实施，能明显提升全乡困难群众的基本生活水平，增强群众的幸福指数，提升群众基础。 3.满意度指标完成情况分析。经过项目实施后的调研，群众对于该项目的满意率为95%。发现的问题及原因：项目推进较慢，主要是项目前期准备工作不够充分。下一步改进措施：加快项目前期准备，提高项目进度。</w:t>
      </w:r>
    </w:p>
    <w:p>
      <w:pPr>
        <w:spacing w:line="540" w:lineRule="exact"/>
        <w:ind w:left="-1" w:right="-1" w:firstLine="646"/>
        <w:jc w:val="left"/>
      </w:pPr>
      <w:r>
        <w:rPr>
          <w:rFonts w:ascii="仿宋_GB2312" w:hAnsi="仿宋_GB2312" w:eastAsia="仿宋_GB2312" w:cs="仿宋_GB2312"/>
          <w:sz w:val="32"/>
        </w:rPr>
        <w:t xml:space="preserve">12、爱国人士项目绩效自评综述：根据年初设定的绩效目标，该项目绩效自评得分为93分。项目全年预算数为1.29万元，执行数为1.29万元，完成预算的100%。主要产出和效果：1.产出指标完成情况分析（1）项目完成数量项目资金1.29万元，保证恰其库木管理区爱国人士生活。（2）项目完成质量项目资金1.29万元，保证恰其库木管理区爱国人士生活。（3）项目实施进度该项目已经全部实施完毕。（4）项目成本节约情况该项目为保障和救助类项目，无节约成本情况。2.效益指标完成情况分析（1）项目实施的经济效益分析 </w:t>
      </w:r>
      <w:r>
        <w:rPr>
          <w:rFonts w:hint="eastAsia" w:ascii="仿宋_GB2312" w:hAnsi="仿宋_GB2312" w:eastAsia="仿宋_GB2312" w:cs="仿宋_GB2312"/>
          <w:sz w:val="32"/>
          <w:lang w:eastAsia="zh-CN"/>
        </w:rPr>
        <w:t>截至</w:t>
      </w:r>
      <w:r>
        <w:rPr>
          <w:rFonts w:ascii="仿宋_GB2312" w:hAnsi="仿宋_GB2312" w:eastAsia="仿宋_GB2312" w:cs="仿宋_GB2312"/>
          <w:sz w:val="32"/>
        </w:rPr>
        <w:t>目前，该项目已全部实施完毕，达到了项目预定绩效各项年度指标值。（2）项目实施的社会效益分析。 提高群众生活水平（3）项目实施的生态效益分析无（4）项目实施的可持续影响分析。项目实施的可持续影响分析。该项目的顺利实施，能明显提升全乡困难群众的基本生活水平，增强群众的幸福指数，提升群众基础。3.满意度指标完成情况分析 经过项目实施后的调研，群众对于该项目的满意率为98%。发现的问题及原因：村级申报资金不及时，不能按时按要求提供上报信息数据。下一步改进措施： 提高村级申报资金的准确性及及时性。</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ind w:firstLine="646"/>
        <w:jc w:val="left"/>
        <w:rPr>
          <w:rFonts w:ascii="仿宋_GB2312" w:eastAsia="仿宋_GB2312"/>
          <w:sz w:val="32"/>
          <w:szCs w:val="32"/>
        </w:rPr>
      </w:pPr>
      <w:r>
        <w:rPr>
          <w:rFonts w:hint="eastAsia" w:ascii="仿宋_GB2312" w:eastAsia="仿宋_GB2312"/>
          <w:sz w:val="32"/>
          <w:szCs w:val="32"/>
        </w:rPr>
        <w:t>有关项目自评情况可附项目支出绩效自评表。</w:t>
      </w:r>
    </w:p>
    <w:p>
      <w:pPr>
        <w:spacing w:line="540" w:lineRule="exact"/>
        <w:jc w:val="center"/>
        <w:rPr>
          <w:rFonts w:ascii="黑体" w:hAnsi="黑体" w:eastAsia="黑体"/>
          <w:sz w:val="32"/>
          <w:szCs w:val="32"/>
        </w:rPr>
      </w:pPr>
      <w:r>
        <w:rPr>
          <w:rFonts w:hint="eastAsia" w:ascii="黑体" w:hAnsi="黑体" w:eastAsia="黑体"/>
          <w:sz w:val="32"/>
          <w:szCs w:val="32"/>
        </w:rPr>
        <w:t>第三部分 专业名词解释</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上级收入：指事业单位从主管部门和上级单位取得的非财政收入。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结余分配：反映单位当年结余的分配情况。</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对附属单位支出：指事业单位发生的用非财政预算资金对附属单位的支出。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w:t>
      </w:r>
      <w:r>
        <w:rPr>
          <w:rFonts w:hint="eastAsia" w:ascii="仿宋_GB2312" w:eastAsia="仿宋_GB2312"/>
          <w:color w:val="000000" w:themeColor="text1"/>
          <w:sz w:val="32"/>
          <w:szCs w:val="32"/>
        </w:rPr>
        <w:t>因公出国</w:t>
      </w:r>
      <w:r>
        <w:rPr>
          <w:rFonts w:hint="eastAsia" w:ascii="仿宋_GB2312" w:eastAsia="仿宋_GB2312"/>
          <w:color w:val="000000" w:themeColor="text1"/>
          <w:sz w:val="32"/>
          <w:szCs w:val="32"/>
          <w:lang w:eastAsia="zh-CN"/>
        </w:rPr>
        <w:t>（境）</w:t>
      </w:r>
      <w:r>
        <w:rPr>
          <w:rFonts w:hint="eastAsia" w:ascii="仿宋_GB2312" w:eastAsia="仿宋_GB2312"/>
          <w:sz w:val="32"/>
          <w:szCs w:val="32"/>
        </w:rPr>
        <w:t>费、公务用车购置及运行费和公务接待费。其中，</w:t>
      </w:r>
      <w:r>
        <w:rPr>
          <w:rFonts w:hint="eastAsia" w:ascii="仿宋_GB2312" w:eastAsia="仿宋_GB2312"/>
          <w:color w:val="000000" w:themeColor="text1"/>
          <w:sz w:val="32"/>
          <w:szCs w:val="32"/>
        </w:rPr>
        <w:t>因公出国</w:t>
      </w:r>
      <w:r>
        <w:rPr>
          <w:rFonts w:hint="eastAsia" w:ascii="仿宋_GB2312" w:eastAsia="仿宋_GB2312"/>
          <w:color w:val="000000" w:themeColor="text1"/>
          <w:sz w:val="32"/>
          <w:szCs w:val="32"/>
          <w:lang w:eastAsia="zh-CN"/>
        </w:rPr>
        <w:t>（境）</w:t>
      </w:r>
      <w:r>
        <w:rPr>
          <w:rFonts w:hint="eastAsia" w:ascii="仿宋_GB2312" w:eastAsia="仿宋_GB2312"/>
          <w:sz w:val="32"/>
          <w:szCs w:val="32"/>
        </w:rPr>
        <w:t>费反映单位公务</w:t>
      </w:r>
      <w:r>
        <w:rPr>
          <w:rFonts w:hint="eastAsia" w:ascii="仿宋_GB2312" w:eastAsia="仿宋_GB2312"/>
          <w:color w:val="000000" w:themeColor="text1"/>
          <w:sz w:val="32"/>
          <w:szCs w:val="32"/>
        </w:rPr>
        <w:t>出国</w:t>
      </w:r>
      <w:r>
        <w:rPr>
          <w:rFonts w:hint="eastAsia" w:ascii="仿宋_GB2312" w:eastAsia="仿宋_GB2312"/>
          <w:color w:val="000000" w:themeColor="text1"/>
          <w:sz w:val="32"/>
          <w:szCs w:val="32"/>
          <w:lang w:eastAsia="zh-CN"/>
        </w:rPr>
        <w:t>（境）</w:t>
      </w:r>
      <w:r>
        <w:rPr>
          <w:rFonts w:hint="eastAsia" w:ascii="仿宋_GB2312" w:eastAsia="仿宋_GB2312"/>
          <w:sz w:val="32"/>
          <w:szCs w:val="32"/>
        </w:rPr>
        <w:t>的住宿费、旅费、伙食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40" w:lineRule="exact"/>
        <w:ind w:firstLine="640" w:firstLineChars="200"/>
        <w:rPr>
          <w:rFonts w:ascii="仿宋_GB2312" w:hAnsi="Calibri" w:eastAsia="仿宋_GB2312"/>
          <w:color w:val="000000" w:themeColor="text1"/>
          <w:sz w:val="32"/>
          <w:szCs w:val="32"/>
          <w:lang w:val="en-GB"/>
        </w:rPr>
      </w:pPr>
      <w:r>
        <w:rPr>
          <w:rFonts w:hint="eastAsia" w:ascii="仿宋_GB2312" w:eastAsia="仿宋_GB2312"/>
          <w:color w:val="000000" w:themeColor="text1"/>
          <w:sz w:val="32"/>
          <w:szCs w:val="32"/>
        </w:rPr>
        <w:t>本单位支出功能分类说明</w:t>
      </w:r>
      <w:r>
        <w:rPr>
          <w:rFonts w:hint="eastAsia" w:ascii="仿宋_GB2312" w:hAnsi="Calibri" w:eastAsia="仿宋_GB2312"/>
          <w:color w:val="000000" w:themeColor="text1"/>
          <w:sz w:val="32"/>
          <w:szCs w:val="32"/>
          <w:lang w:val="en-GB"/>
        </w:rPr>
        <w:t>。</w:t>
      </w:r>
      <w:r>
        <w:rPr>
          <w:rFonts w:hint="eastAsia" w:ascii="仿宋_GB2312" w:eastAsia="仿宋_GB2312"/>
          <w:sz w:val="32"/>
          <w:szCs w:val="32"/>
        </w:rPr>
        <w:t>221（类）01（款）99（项）指：其他保障性安居工程支出。213（类）05（款）02（项）指：一般行政管理事务。210（类）13（款）01（项）指：城乡。213（类）05（款）05（项）指：生产发展。213（类）02（款）09（项）指：森林生态效益补偿。211（类）06（款）99（项）指：其他退耕还林支出。221（类）02（款）01（项）指：住房公积金。208（类）19（款）02（项）指：农村最低生活保障金支出。208（类）99（款）01（项）指：其他社会保障和就业支出。208（类）11（款）07（项）指：残疾人生活和护理补贴。208（类）05（款）05（项）指：机关事业单位基本养老保险缴费支出。208（类）19（款）01（项）指：城市最低生活保障金支出。201（类）03（款）02（项）指：一般行政管理事务。214（类）05（款）99（项）指：其他邮政业支出。229（类）60（款）10（项）指：用于文化事业的彩票公益金支出。208（类）10（款）99（项）指：其他社会福利支出。208（类）20（款）01（项）指：临时支出。208（类）10（款）02（项）指：老年福利。201（类）32（款）99（项）指：其他组织事务支出。201（类）31（款）02（项）指：一般行政管理事务。229（类）99（款）01（项）指：其他支出。201（类）03（款）01（项）指：行政运行。201（类）32（款）02（项）指：一般行政管理事务。201（类）34（款）99（项）指：其他统战事务支出。</w:t>
      </w:r>
    </w:p>
    <w:p>
      <w:pPr>
        <w:spacing w:line="540" w:lineRule="exact"/>
        <w:ind w:firstLine="640" w:firstLineChars="200"/>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w:t>
      </w:r>
    </w:p>
    <w:p>
      <w:pPr>
        <w:spacing w:line="540" w:lineRule="exact"/>
        <w:ind w:firstLine="643" w:firstLineChars="200"/>
        <w:rPr>
          <w:rFonts w:ascii="仿宋_GB2312" w:eastAsia="仿宋_GB2312"/>
          <w:b/>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第四部分 部门决算公开的8张报表（见附表）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二、《收入决算表》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四、《财政拨款收入支出决算总表》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五、《一般公共预算财政拨款支出决算表》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六、《一般公共预算财政拨款基本支出决算表》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七、《一般公共预算财政拨款“三公”经费支出决算表》</w:t>
      </w:r>
    </w:p>
    <w:p>
      <w:pPr>
        <w:spacing w:line="540" w:lineRule="exact"/>
        <w:ind w:firstLine="640" w:firstLineChars="200"/>
        <w:rPr>
          <w:rFonts w:ascii="仿宋_GB2312" w:eastAsia="仿宋_GB2312"/>
          <w:sz w:val="32"/>
          <w:szCs w:val="32"/>
        </w:rPr>
        <w:sectPr>
          <w:footerReference r:id="rId3" w:type="default"/>
          <w:footerReference r:id="rId4" w:type="even"/>
          <w:pgSz w:w="11906" w:h="16838"/>
          <w:pgMar w:top="2041" w:right="1276" w:bottom="2041" w:left="1276" w:header="851" w:footer="1814" w:gutter="0"/>
          <w:pgNumType w:fmt="numberInDash"/>
          <w:cols w:space="425" w:num="1"/>
          <w:docGrid w:type="lines" w:linePitch="435" w:charSpace="-1675"/>
        </w:sectPr>
      </w:pPr>
      <w:r>
        <w:rPr>
          <w:rFonts w:hint="eastAsia" w:ascii="仿宋_GB2312" w:hAnsi="宋体" w:eastAsia="仿宋_GB2312"/>
          <w:sz w:val="32"/>
          <w:szCs w:val="32"/>
        </w:rPr>
        <w:t>八、</w:t>
      </w:r>
      <w:r>
        <w:rPr>
          <w:rFonts w:hint="eastAsia" w:ascii="仿宋_GB2312" w:eastAsia="仿宋_GB2312"/>
          <w:sz w:val="32"/>
          <w:szCs w:val="32"/>
        </w:rPr>
        <w:t>《政府性基金预算财政拨款收入支出决算表》</w:t>
      </w:r>
    </w:p>
    <w:p>
      <w:pPr>
        <w:spacing w:line="540" w:lineRule="exact"/>
        <w:rPr>
          <w:rFonts w:ascii="仿宋_GB2312"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9631" w:y="37"/>
      <w:jc w:val="right"/>
      <w:rPr>
        <w:rStyle w:val="9"/>
        <w:rFonts w:ascii="宋体" w:hAnsi="宋体" w:eastAsia="宋体"/>
        <w:sz w:val="28"/>
      </w:rPr>
    </w:pPr>
    <w:r>
      <w:rPr>
        <w:rStyle w:val="9"/>
        <w:rFonts w:ascii="宋体" w:hAnsi="宋体" w:eastAsia="宋体"/>
        <w:sz w:val="28"/>
      </w:rPr>
      <w:fldChar w:fldCharType="begin"/>
    </w:r>
    <w:r>
      <w:rPr>
        <w:rStyle w:val="9"/>
        <w:rFonts w:ascii="宋体" w:hAnsi="宋体" w:eastAsia="宋体"/>
        <w:sz w:val="28"/>
      </w:rPr>
      <w:instrText xml:space="preserve"> PAGE </w:instrText>
    </w:r>
    <w:r>
      <w:rPr>
        <w:rStyle w:val="9"/>
        <w:rFonts w:ascii="宋体" w:hAnsi="宋体" w:eastAsia="宋体"/>
        <w:sz w:val="28"/>
      </w:rPr>
      <w:fldChar w:fldCharType="separate"/>
    </w:r>
    <w:r>
      <w:rPr>
        <w:rStyle w:val="9"/>
        <w:rFonts w:ascii="宋体" w:hAnsi="宋体" w:eastAsia="宋体"/>
        <w:sz w:val="28"/>
      </w:rPr>
      <w:t>- 1 -</w:t>
    </w:r>
    <w:r>
      <w:rPr>
        <w:rStyle w:val="9"/>
        <w:rFonts w:ascii="宋体" w:hAnsi="宋体" w:eastAsia="宋体"/>
        <w:sz w:val="28"/>
      </w:rPr>
      <w:fldChar w:fldCharType="end"/>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1756" w:y="37"/>
      <w:rPr>
        <w:rStyle w:val="9"/>
        <w:rFonts w:ascii="宋体" w:hAnsi="宋体" w:eastAsia="宋体"/>
        <w:sz w:val="28"/>
        <w:szCs w:val="28"/>
      </w:rPr>
    </w:pPr>
    <w:r>
      <w:rPr>
        <w:rStyle w:val="9"/>
        <w:rFonts w:ascii="宋体" w:hAnsi="宋体" w:eastAsia="宋体"/>
        <w:sz w:val="28"/>
        <w:szCs w:val="28"/>
      </w:rPr>
      <w:fldChar w:fldCharType="begin"/>
    </w:r>
    <w:r>
      <w:rPr>
        <w:rStyle w:val="9"/>
        <w:rFonts w:ascii="宋体" w:hAnsi="宋体" w:eastAsia="宋体"/>
        <w:sz w:val="28"/>
        <w:szCs w:val="28"/>
      </w:rPr>
      <w:instrText xml:space="preserve">PAGE  </w:instrText>
    </w:r>
    <w:r>
      <w:rPr>
        <w:rStyle w:val="9"/>
        <w:rFonts w:ascii="宋体" w:hAnsi="宋体" w:eastAsia="宋体"/>
        <w:sz w:val="28"/>
        <w:szCs w:val="28"/>
      </w:rPr>
      <w:fldChar w:fldCharType="separate"/>
    </w:r>
    <w:r>
      <w:rPr>
        <w:rStyle w:val="9"/>
        <w:rFonts w:ascii="宋体" w:hAnsi="宋体" w:eastAsia="宋体"/>
        <w:sz w:val="28"/>
        <w:szCs w:val="28"/>
      </w:rPr>
      <w:t>- 12 -</w:t>
    </w:r>
    <w:r>
      <w:rPr>
        <w:rStyle w:val="9"/>
        <w:rFonts w:ascii="宋体" w:hAnsi="宋体" w:eastAsia="宋体"/>
        <w:sz w:val="28"/>
        <w:szCs w:val="28"/>
      </w:rPr>
      <w:fldChar w:fldCharType="end"/>
    </w:r>
  </w:p>
  <w:p>
    <w:pPr>
      <w:pStyle w:val="4"/>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jkzNzgyM2E2Yjg1NDJlZmFjYTEwNGIyZWYwNjY4MWIifQ=="/>
  </w:docVars>
  <w:rsids>
    <w:rsidRoot w:val="00443568"/>
    <w:rsid w:val="00000A75"/>
    <w:rsid w:val="00003BF7"/>
    <w:rsid w:val="000040C4"/>
    <w:rsid w:val="00005719"/>
    <w:rsid w:val="00007F37"/>
    <w:rsid w:val="00010976"/>
    <w:rsid w:val="0002118A"/>
    <w:rsid w:val="00021887"/>
    <w:rsid w:val="00022242"/>
    <w:rsid w:val="00040E57"/>
    <w:rsid w:val="00044097"/>
    <w:rsid w:val="00050E1F"/>
    <w:rsid w:val="00054305"/>
    <w:rsid w:val="00055F93"/>
    <w:rsid w:val="00060E28"/>
    <w:rsid w:val="00061814"/>
    <w:rsid w:val="000635BD"/>
    <w:rsid w:val="00065838"/>
    <w:rsid w:val="00080DEB"/>
    <w:rsid w:val="00083BBE"/>
    <w:rsid w:val="00083EBE"/>
    <w:rsid w:val="00091B9F"/>
    <w:rsid w:val="000A2EE8"/>
    <w:rsid w:val="000A497E"/>
    <w:rsid w:val="000A7773"/>
    <w:rsid w:val="000B08C5"/>
    <w:rsid w:val="000B206D"/>
    <w:rsid w:val="000B2C8D"/>
    <w:rsid w:val="000B6AD4"/>
    <w:rsid w:val="000B6C14"/>
    <w:rsid w:val="000B7C75"/>
    <w:rsid w:val="000C1474"/>
    <w:rsid w:val="000C4B9C"/>
    <w:rsid w:val="000D21F9"/>
    <w:rsid w:val="000D352B"/>
    <w:rsid w:val="000E0AB3"/>
    <w:rsid w:val="000E21E6"/>
    <w:rsid w:val="000E65F1"/>
    <w:rsid w:val="000E73E7"/>
    <w:rsid w:val="000E75AE"/>
    <w:rsid w:val="0010072E"/>
    <w:rsid w:val="00101D4F"/>
    <w:rsid w:val="0010481F"/>
    <w:rsid w:val="001128DE"/>
    <w:rsid w:val="00113241"/>
    <w:rsid w:val="0012066C"/>
    <w:rsid w:val="00123283"/>
    <w:rsid w:val="00124713"/>
    <w:rsid w:val="00124A31"/>
    <w:rsid w:val="00124B40"/>
    <w:rsid w:val="00133488"/>
    <w:rsid w:val="00133516"/>
    <w:rsid w:val="00137B91"/>
    <w:rsid w:val="00142400"/>
    <w:rsid w:val="00150BEF"/>
    <w:rsid w:val="00151A95"/>
    <w:rsid w:val="00157F86"/>
    <w:rsid w:val="00164EBC"/>
    <w:rsid w:val="00166003"/>
    <w:rsid w:val="001669CC"/>
    <w:rsid w:val="00166DAB"/>
    <w:rsid w:val="00166E4B"/>
    <w:rsid w:val="00167131"/>
    <w:rsid w:val="00167DB8"/>
    <w:rsid w:val="00170C1A"/>
    <w:rsid w:val="00171B68"/>
    <w:rsid w:val="00173DD7"/>
    <w:rsid w:val="00177527"/>
    <w:rsid w:val="00184AA3"/>
    <w:rsid w:val="00194099"/>
    <w:rsid w:val="001951FF"/>
    <w:rsid w:val="001971DA"/>
    <w:rsid w:val="001A10E6"/>
    <w:rsid w:val="001A135B"/>
    <w:rsid w:val="001A1FDB"/>
    <w:rsid w:val="001A2A1A"/>
    <w:rsid w:val="001B3A06"/>
    <w:rsid w:val="001B5DF3"/>
    <w:rsid w:val="001C26F2"/>
    <w:rsid w:val="001C38EB"/>
    <w:rsid w:val="001C79E0"/>
    <w:rsid w:val="001D640A"/>
    <w:rsid w:val="001D65CB"/>
    <w:rsid w:val="001E197A"/>
    <w:rsid w:val="001E2962"/>
    <w:rsid w:val="001F0E21"/>
    <w:rsid w:val="001F2FE9"/>
    <w:rsid w:val="001F3267"/>
    <w:rsid w:val="001F6948"/>
    <w:rsid w:val="0020033F"/>
    <w:rsid w:val="00200C57"/>
    <w:rsid w:val="00207AD5"/>
    <w:rsid w:val="0021204D"/>
    <w:rsid w:val="002127E3"/>
    <w:rsid w:val="002146E7"/>
    <w:rsid w:val="00216FD0"/>
    <w:rsid w:val="00226DF0"/>
    <w:rsid w:val="00231C2E"/>
    <w:rsid w:val="00241293"/>
    <w:rsid w:val="00245135"/>
    <w:rsid w:val="002453A6"/>
    <w:rsid w:val="00247520"/>
    <w:rsid w:val="00251FC8"/>
    <w:rsid w:val="00256471"/>
    <w:rsid w:val="00257943"/>
    <w:rsid w:val="002608FE"/>
    <w:rsid w:val="00271D59"/>
    <w:rsid w:val="0027418F"/>
    <w:rsid w:val="0027584A"/>
    <w:rsid w:val="00282470"/>
    <w:rsid w:val="00295B34"/>
    <w:rsid w:val="0029700A"/>
    <w:rsid w:val="002978C4"/>
    <w:rsid w:val="002A7E48"/>
    <w:rsid w:val="002B1DA2"/>
    <w:rsid w:val="002B557B"/>
    <w:rsid w:val="002B5D8E"/>
    <w:rsid w:val="002C0FB9"/>
    <w:rsid w:val="002C11DF"/>
    <w:rsid w:val="002C4530"/>
    <w:rsid w:val="002D2B8C"/>
    <w:rsid w:val="002D34C1"/>
    <w:rsid w:val="002D76FA"/>
    <w:rsid w:val="002E189D"/>
    <w:rsid w:val="002E18D1"/>
    <w:rsid w:val="002E531F"/>
    <w:rsid w:val="002E64E8"/>
    <w:rsid w:val="002F3234"/>
    <w:rsid w:val="002F4867"/>
    <w:rsid w:val="002F4F3E"/>
    <w:rsid w:val="003005CD"/>
    <w:rsid w:val="00300B06"/>
    <w:rsid w:val="0030440B"/>
    <w:rsid w:val="00305C33"/>
    <w:rsid w:val="00307208"/>
    <w:rsid w:val="00311036"/>
    <w:rsid w:val="003136FF"/>
    <w:rsid w:val="003167D1"/>
    <w:rsid w:val="00317644"/>
    <w:rsid w:val="00317B76"/>
    <w:rsid w:val="00317B91"/>
    <w:rsid w:val="00320F9D"/>
    <w:rsid w:val="003217D2"/>
    <w:rsid w:val="003228EE"/>
    <w:rsid w:val="0032647C"/>
    <w:rsid w:val="00326734"/>
    <w:rsid w:val="0033566D"/>
    <w:rsid w:val="00342090"/>
    <w:rsid w:val="003441F7"/>
    <w:rsid w:val="00344D62"/>
    <w:rsid w:val="00345984"/>
    <w:rsid w:val="00354FC7"/>
    <w:rsid w:val="00361388"/>
    <w:rsid w:val="00363F78"/>
    <w:rsid w:val="003642F3"/>
    <w:rsid w:val="00364924"/>
    <w:rsid w:val="00366A76"/>
    <w:rsid w:val="003700A6"/>
    <w:rsid w:val="00371AB7"/>
    <w:rsid w:val="00376020"/>
    <w:rsid w:val="00376E66"/>
    <w:rsid w:val="003818F3"/>
    <w:rsid w:val="0038402D"/>
    <w:rsid w:val="00386083"/>
    <w:rsid w:val="003913BA"/>
    <w:rsid w:val="003929A0"/>
    <w:rsid w:val="00394E80"/>
    <w:rsid w:val="00396057"/>
    <w:rsid w:val="003A03AB"/>
    <w:rsid w:val="003A251D"/>
    <w:rsid w:val="003A4403"/>
    <w:rsid w:val="003B29BD"/>
    <w:rsid w:val="003B4AA1"/>
    <w:rsid w:val="003B68E6"/>
    <w:rsid w:val="003B6E53"/>
    <w:rsid w:val="003C5A61"/>
    <w:rsid w:val="003D124B"/>
    <w:rsid w:val="003D161B"/>
    <w:rsid w:val="003D3AA4"/>
    <w:rsid w:val="003E4A05"/>
    <w:rsid w:val="003E5F5C"/>
    <w:rsid w:val="003E7D9E"/>
    <w:rsid w:val="003F37E0"/>
    <w:rsid w:val="003F699E"/>
    <w:rsid w:val="00401A23"/>
    <w:rsid w:val="00401CA2"/>
    <w:rsid w:val="00405E6D"/>
    <w:rsid w:val="00411C55"/>
    <w:rsid w:val="00415648"/>
    <w:rsid w:val="00415BCE"/>
    <w:rsid w:val="0042015D"/>
    <w:rsid w:val="0042215C"/>
    <w:rsid w:val="004229CA"/>
    <w:rsid w:val="004243AE"/>
    <w:rsid w:val="00425950"/>
    <w:rsid w:val="00430B78"/>
    <w:rsid w:val="00435506"/>
    <w:rsid w:val="00441209"/>
    <w:rsid w:val="00443568"/>
    <w:rsid w:val="00444981"/>
    <w:rsid w:val="0045026B"/>
    <w:rsid w:val="004558AB"/>
    <w:rsid w:val="00456B91"/>
    <w:rsid w:val="00457729"/>
    <w:rsid w:val="0047598D"/>
    <w:rsid w:val="004802CE"/>
    <w:rsid w:val="00486DB6"/>
    <w:rsid w:val="00487D16"/>
    <w:rsid w:val="004957F5"/>
    <w:rsid w:val="004976A5"/>
    <w:rsid w:val="004A0034"/>
    <w:rsid w:val="004A02D4"/>
    <w:rsid w:val="004A0690"/>
    <w:rsid w:val="004A2CA4"/>
    <w:rsid w:val="004A7A7B"/>
    <w:rsid w:val="004B401D"/>
    <w:rsid w:val="004B58A1"/>
    <w:rsid w:val="004B7BB8"/>
    <w:rsid w:val="004C351C"/>
    <w:rsid w:val="004C5BB4"/>
    <w:rsid w:val="004C7372"/>
    <w:rsid w:val="004D508F"/>
    <w:rsid w:val="004D5F0E"/>
    <w:rsid w:val="004D6793"/>
    <w:rsid w:val="004D7DE9"/>
    <w:rsid w:val="004E15B7"/>
    <w:rsid w:val="004E5557"/>
    <w:rsid w:val="004E678C"/>
    <w:rsid w:val="004F067D"/>
    <w:rsid w:val="004F0DBA"/>
    <w:rsid w:val="004F33DA"/>
    <w:rsid w:val="004F77C5"/>
    <w:rsid w:val="005001A7"/>
    <w:rsid w:val="00501302"/>
    <w:rsid w:val="00507F68"/>
    <w:rsid w:val="00523B8A"/>
    <w:rsid w:val="00532585"/>
    <w:rsid w:val="00533FA0"/>
    <w:rsid w:val="0054006F"/>
    <w:rsid w:val="00540C10"/>
    <w:rsid w:val="005464FA"/>
    <w:rsid w:val="005555EA"/>
    <w:rsid w:val="00560650"/>
    <w:rsid w:val="00567FB5"/>
    <w:rsid w:val="005770C3"/>
    <w:rsid w:val="00577753"/>
    <w:rsid w:val="00581AD2"/>
    <w:rsid w:val="005857A0"/>
    <w:rsid w:val="00592D42"/>
    <w:rsid w:val="00595B47"/>
    <w:rsid w:val="00597FE4"/>
    <w:rsid w:val="005A5B02"/>
    <w:rsid w:val="005B06DF"/>
    <w:rsid w:val="005B3245"/>
    <w:rsid w:val="005B6754"/>
    <w:rsid w:val="005B75C0"/>
    <w:rsid w:val="005C02EB"/>
    <w:rsid w:val="005C3143"/>
    <w:rsid w:val="005D311B"/>
    <w:rsid w:val="005D61D8"/>
    <w:rsid w:val="005D7A8F"/>
    <w:rsid w:val="005E3B86"/>
    <w:rsid w:val="005E4E6B"/>
    <w:rsid w:val="005E6995"/>
    <w:rsid w:val="005E6C5D"/>
    <w:rsid w:val="005E7C64"/>
    <w:rsid w:val="005F2A5A"/>
    <w:rsid w:val="005F2AEA"/>
    <w:rsid w:val="005F4FFE"/>
    <w:rsid w:val="00602C6F"/>
    <w:rsid w:val="00604ECA"/>
    <w:rsid w:val="006069FD"/>
    <w:rsid w:val="00610EE1"/>
    <w:rsid w:val="0061632B"/>
    <w:rsid w:val="006168AD"/>
    <w:rsid w:val="00621929"/>
    <w:rsid w:val="0062266C"/>
    <w:rsid w:val="006250CB"/>
    <w:rsid w:val="00627F36"/>
    <w:rsid w:val="006304D1"/>
    <w:rsid w:val="00631DA8"/>
    <w:rsid w:val="006332A9"/>
    <w:rsid w:val="0063431E"/>
    <w:rsid w:val="006426C4"/>
    <w:rsid w:val="00645B9C"/>
    <w:rsid w:val="00645C30"/>
    <w:rsid w:val="0065497B"/>
    <w:rsid w:val="00654DF5"/>
    <w:rsid w:val="00654E41"/>
    <w:rsid w:val="0067149A"/>
    <w:rsid w:val="0069278A"/>
    <w:rsid w:val="006A1C84"/>
    <w:rsid w:val="006A745B"/>
    <w:rsid w:val="006A78F4"/>
    <w:rsid w:val="006B0F85"/>
    <w:rsid w:val="006B4B06"/>
    <w:rsid w:val="006B4D0D"/>
    <w:rsid w:val="006B60E5"/>
    <w:rsid w:val="006B636C"/>
    <w:rsid w:val="006C1DED"/>
    <w:rsid w:val="006C3692"/>
    <w:rsid w:val="006D0B78"/>
    <w:rsid w:val="006D45B7"/>
    <w:rsid w:val="006D62B0"/>
    <w:rsid w:val="006F14EB"/>
    <w:rsid w:val="006F5BD8"/>
    <w:rsid w:val="007015B6"/>
    <w:rsid w:val="00701EC2"/>
    <w:rsid w:val="007021BE"/>
    <w:rsid w:val="00706C32"/>
    <w:rsid w:val="007106B4"/>
    <w:rsid w:val="007214A9"/>
    <w:rsid w:val="007214DF"/>
    <w:rsid w:val="007220B1"/>
    <w:rsid w:val="007302C1"/>
    <w:rsid w:val="0073120F"/>
    <w:rsid w:val="007314F0"/>
    <w:rsid w:val="00737D00"/>
    <w:rsid w:val="0074240E"/>
    <w:rsid w:val="00742FA1"/>
    <w:rsid w:val="007476BA"/>
    <w:rsid w:val="00750798"/>
    <w:rsid w:val="00752BCF"/>
    <w:rsid w:val="0076538D"/>
    <w:rsid w:val="007714E5"/>
    <w:rsid w:val="00773D5E"/>
    <w:rsid w:val="00776FAF"/>
    <w:rsid w:val="00777229"/>
    <w:rsid w:val="007775E8"/>
    <w:rsid w:val="0078072D"/>
    <w:rsid w:val="00795099"/>
    <w:rsid w:val="00796088"/>
    <w:rsid w:val="007A2C71"/>
    <w:rsid w:val="007A2FBD"/>
    <w:rsid w:val="007A6743"/>
    <w:rsid w:val="007B1E23"/>
    <w:rsid w:val="007B2E9D"/>
    <w:rsid w:val="007B4447"/>
    <w:rsid w:val="007C0F24"/>
    <w:rsid w:val="007C1415"/>
    <w:rsid w:val="007C1AE3"/>
    <w:rsid w:val="007C2670"/>
    <w:rsid w:val="007C2E4F"/>
    <w:rsid w:val="007C5E7D"/>
    <w:rsid w:val="007C7E2E"/>
    <w:rsid w:val="007D2127"/>
    <w:rsid w:val="007E3095"/>
    <w:rsid w:val="007F27ED"/>
    <w:rsid w:val="008043B9"/>
    <w:rsid w:val="0080628E"/>
    <w:rsid w:val="00807ACF"/>
    <w:rsid w:val="008206CE"/>
    <w:rsid w:val="00821E76"/>
    <w:rsid w:val="008259BC"/>
    <w:rsid w:val="0083105A"/>
    <w:rsid w:val="00837040"/>
    <w:rsid w:val="008427AB"/>
    <w:rsid w:val="00847DCE"/>
    <w:rsid w:val="0085023C"/>
    <w:rsid w:val="00853966"/>
    <w:rsid w:val="00857827"/>
    <w:rsid w:val="00866A6C"/>
    <w:rsid w:val="008969FE"/>
    <w:rsid w:val="008A237C"/>
    <w:rsid w:val="008A2D2C"/>
    <w:rsid w:val="008A3633"/>
    <w:rsid w:val="008A4022"/>
    <w:rsid w:val="008B2514"/>
    <w:rsid w:val="008B4607"/>
    <w:rsid w:val="008B76C6"/>
    <w:rsid w:val="008C030F"/>
    <w:rsid w:val="008C3836"/>
    <w:rsid w:val="008E28BD"/>
    <w:rsid w:val="008E4EAC"/>
    <w:rsid w:val="008E5D6E"/>
    <w:rsid w:val="008F0F07"/>
    <w:rsid w:val="00901630"/>
    <w:rsid w:val="009067C5"/>
    <w:rsid w:val="00910E73"/>
    <w:rsid w:val="009110DE"/>
    <w:rsid w:val="00913B22"/>
    <w:rsid w:val="00914BA4"/>
    <w:rsid w:val="00920C0A"/>
    <w:rsid w:val="00920E2A"/>
    <w:rsid w:val="00922EA0"/>
    <w:rsid w:val="009240D6"/>
    <w:rsid w:val="00924A08"/>
    <w:rsid w:val="009256ED"/>
    <w:rsid w:val="00927052"/>
    <w:rsid w:val="00927281"/>
    <w:rsid w:val="00933A28"/>
    <w:rsid w:val="00940134"/>
    <w:rsid w:val="00943A3E"/>
    <w:rsid w:val="00944CCC"/>
    <w:rsid w:val="00945E7F"/>
    <w:rsid w:val="00947403"/>
    <w:rsid w:val="0095057C"/>
    <w:rsid w:val="009543BA"/>
    <w:rsid w:val="00954FB4"/>
    <w:rsid w:val="00960925"/>
    <w:rsid w:val="00970AB3"/>
    <w:rsid w:val="00975CF8"/>
    <w:rsid w:val="00982C13"/>
    <w:rsid w:val="00985DF4"/>
    <w:rsid w:val="00987E45"/>
    <w:rsid w:val="0099241E"/>
    <w:rsid w:val="009942F3"/>
    <w:rsid w:val="00994950"/>
    <w:rsid w:val="0099652B"/>
    <w:rsid w:val="009A0831"/>
    <w:rsid w:val="009A44FB"/>
    <w:rsid w:val="009A5CDE"/>
    <w:rsid w:val="009A6870"/>
    <w:rsid w:val="009B3F92"/>
    <w:rsid w:val="009B4BE5"/>
    <w:rsid w:val="009C3CE9"/>
    <w:rsid w:val="009C589A"/>
    <w:rsid w:val="009C6A82"/>
    <w:rsid w:val="009D15D2"/>
    <w:rsid w:val="009D592F"/>
    <w:rsid w:val="009D641F"/>
    <w:rsid w:val="009D75A3"/>
    <w:rsid w:val="009E49B5"/>
    <w:rsid w:val="009E711C"/>
    <w:rsid w:val="009F06B8"/>
    <w:rsid w:val="00A0017F"/>
    <w:rsid w:val="00A037A6"/>
    <w:rsid w:val="00A11A5F"/>
    <w:rsid w:val="00A11F40"/>
    <w:rsid w:val="00A13D3F"/>
    <w:rsid w:val="00A273DB"/>
    <w:rsid w:val="00A3080D"/>
    <w:rsid w:val="00A30EB7"/>
    <w:rsid w:val="00A31D7F"/>
    <w:rsid w:val="00A338C6"/>
    <w:rsid w:val="00A408E3"/>
    <w:rsid w:val="00A425CE"/>
    <w:rsid w:val="00A44660"/>
    <w:rsid w:val="00A53ACA"/>
    <w:rsid w:val="00A55B8B"/>
    <w:rsid w:val="00A55F77"/>
    <w:rsid w:val="00A67E86"/>
    <w:rsid w:val="00A72457"/>
    <w:rsid w:val="00A86966"/>
    <w:rsid w:val="00A872D8"/>
    <w:rsid w:val="00A912CC"/>
    <w:rsid w:val="00A970D1"/>
    <w:rsid w:val="00AA21EA"/>
    <w:rsid w:val="00AA57AE"/>
    <w:rsid w:val="00AB0AFB"/>
    <w:rsid w:val="00AC002C"/>
    <w:rsid w:val="00AC1DD9"/>
    <w:rsid w:val="00AC4218"/>
    <w:rsid w:val="00AD3489"/>
    <w:rsid w:val="00AD3E2D"/>
    <w:rsid w:val="00AD51DD"/>
    <w:rsid w:val="00AE5C1B"/>
    <w:rsid w:val="00AE79D8"/>
    <w:rsid w:val="00AE7BAC"/>
    <w:rsid w:val="00AF09FB"/>
    <w:rsid w:val="00B00C16"/>
    <w:rsid w:val="00B03B3E"/>
    <w:rsid w:val="00B046A4"/>
    <w:rsid w:val="00B06382"/>
    <w:rsid w:val="00B0733F"/>
    <w:rsid w:val="00B10701"/>
    <w:rsid w:val="00B14035"/>
    <w:rsid w:val="00B146E7"/>
    <w:rsid w:val="00B30B86"/>
    <w:rsid w:val="00B32A4F"/>
    <w:rsid w:val="00B358E2"/>
    <w:rsid w:val="00B40CB6"/>
    <w:rsid w:val="00B50AD6"/>
    <w:rsid w:val="00B51AB3"/>
    <w:rsid w:val="00B5337C"/>
    <w:rsid w:val="00B5340F"/>
    <w:rsid w:val="00B611F7"/>
    <w:rsid w:val="00B6765D"/>
    <w:rsid w:val="00B717C5"/>
    <w:rsid w:val="00B75463"/>
    <w:rsid w:val="00B90F21"/>
    <w:rsid w:val="00B93445"/>
    <w:rsid w:val="00B94F7E"/>
    <w:rsid w:val="00B95F83"/>
    <w:rsid w:val="00B965C5"/>
    <w:rsid w:val="00B96E34"/>
    <w:rsid w:val="00B9729A"/>
    <w:rsid w:val="00BB0177"/>
    <w:rsid w:val="00BB3A31"/>
    <w:rsid w:val="00BC2D65"/>
    <w:rsid w:val="00BD1F2C"/>
    <w:rsid w:val="00BD2BBE"/>
    <w:rsid w:val="00BD7EF8"/>
    <w:rsid w:val="00BE0FEE"/>
    <w:rsid w:val="00BE4817"/>
    <w:rsid w:val="00BE721C"/>
    <w:rsid w:val="00BF0DC7"/>
    <w:rsid w:val="00BF1F54"/>
    <w:rsid w:val="00BF3F1C"/>
    <w:rsid w:val="00BF6B44"/>
    <w:rsid w:val="00C04782"/>
    <w:rsid w:val="00C04F2D"/>
    <w:rsid w:val="00C238F0"/>
    <w:rsid w:val="00C25CC6"/>
    <w:rsid w:val="00C31297"/>
    <w:rsid w:val="00C61A9B"/>
    <w:rsid w:val="00C732F1"/>
    <w:rsid w:val="00C8565C"/>
    <w:rsid w:val="00C92227"/>
    <w:rsid w:val="00CB0287"/>
    <w:rsid w:val="00CB11AE"/>
    <w:rsid w:val="00CB2CF7"/>
    <w:rsid w:val="00CB70E5"/>
    <w:rsid w:val="00CC1506"/>
    <w:rsid w:val="00CC176A"/>
    <w:rsid w:val="00CC1B4E"/>
    <w:rsid w:val="00CC3731"/>
    <w:rsid w:val="00CC4506"/>
    <w:rsid w:val="00CC4F04"/>
    <w:rsid w:val="00CD723D"/>
    <w:rsid w:val="00CE1BBB"/>
    <w:rsid w:val="00CF226A"/>
    <w:rsid w:val="00CF3263"/>
    <w:rsid w:val="00CF444E"/>
    <w:rsid w:val="00D001BF"/>
    <w:rsid w:val="00D07FED"/>
    <w:rsid w:val="00D1171B"/>
    <w:rsid w:val="00D1499A"/>
    <w:rsid w:val="00D16172"/>
    <w:rsid w:val="00D20653"/>
    <w:rsid w:val="00D25C2B"/>
    <w:rsid w:val="00D25C67"/>
    <w:rsid w:val="00D30DDB"/>
    <w:rsid w:val="00D334A9"/>
    <w:rsid w:val="00D33513"/>
    <w:rsid w:val="00D36199"/>
    <w:rsid w:val="00D43678"/>
    <w:rsid w:val="00D51F2C"/>
    <w:rsid w:val="00D5247F"/>
    <w:rsid w:val="00D528F6"/>
    <w:rsid w:val="00D6260D"/>
    <w:rsid w:val="00D670F7"/>
    <w:rsid w:val="00D7746E"/>
    <w:rsid w:val="00D819E7"/>
    <w:rsid w:val="00D85A54"/>
    <w:rsid w:val="00D85A61"/>
    <w:rsid w:val="00D92C82"/>
    <w:rsid w:val="00DA1E10"/>
    <w:rsid w:val="00DA463D"/>
    <w:rsid w:val="00DA5B64"/>
    <w:rsid w:val="00DB0CB5"/>
    <w:rsid w:val="00DB2B00"/>
    <w:rsid w:val="00DB45E7"/>
    <w:rsid w:val="00DC1408"/>
    <w:rsid w:val="00DC17C6"/>
    <w:rsid w:val="00DC19E1"/>
    <w:rsid w:val="00DC25CF"/>
    <w:rsid w:val="00DC65F7"/>
    <w:rsid w:val="00DD4CEE"/>
    <w:rsid w:val="00DF32E5"/>
    <w:rsid w:val="00DF3EFD"/>
    <w:rsid w:val="00E07FDF"/>
    <w:rsid w:val="00E14EDE"/>
    <w:rsid w:val="00E2368C"/>
    <w:rsid w:val="00E242B2"/>
    <w:rsid w:val="00E31696"/>
    <w:rsid w:val="00E33E4C"/>
    <w:rsid w:val="00E44960"/>
    <w:rsid w:val="00E52F6A"/>
    <w:rsid w:val="00E545C9"/>
    <w:rsid w:val="00E55774"/>
    <w:rsid w:val="00E56018"/>
    <w:rsid w:val="00E64B7B"/>
    <w:rsid w:val="00E66654"/>
    <w:rsid w:val="00E74817"/>
    <w:rsid w:val="00E75B6D"/>
    <w:rsid w:val="00E76C2B"/>
    <w:rsid w:val="00E8294F"/>
    <w:rsid w:val="00E870C3"/>
    <w:rsid w:val="00E8738A"/>
    <w:rsid w:val="00E91483"/>
    <w:rsid w:val="00E916E5"/>
    <w:rsid w:val="00E92F11"/>
    <w:rsid w:val="00E95399"/>
    <w:rsid w:val="00E95FBD"/>
    <w:rsid w:val="00E9654C"/>
    <w:rsid w:val="00EA1A1C"/>
    <w:rsid w:val="00EA36D3"/>
    <w:rsid w:val="00EB1C85"/>
    <w:rsid w:val="00EB22F0"/>
    <w:rsid w:val="00EB380F"/>
    <w:rsid w:val="00EB3823"/>
    <w:rsid w:val="00EC5A7D"/>
    <w:rsid w:val="00EC7099"/>
    <w:rsid w:val="00ED5E90"/>
    <w:rsid w:val="00ED60E2"/>
    <w:rsid w:val="00EE0A13"/>
    <w:rsid w:val="00EE2897"/>
    <w:rsid w:val="00EF31D5"/>
    <w:rsid w:val="00EF7FDA"/>
    <w:rsid w:val="00F01612"/>
    <w:rsid w:val="00F04B17"/>
    <w:rsid w:val="00F07B1C"/>
    <w:rsid w:val="00F113F4"/>
    <w:rsid w:val="00F13479"/>
    <w:rsid w:val="00F14CE8"/>
    <w:rsid w:val="00F16253"/>
    <w:rsid w:val="00F1625A"/>
    <w:rsid w:val="00F17C93"/>
    <w:rsid w:val="00F50BA2"/>
    <w:rsid w:val="00F5664D"/>
    <w:rsid w:val="00F6771B"/>
    <w:rsid w:val="00F703C3"/>
    <w:rsid w:val="00F80799"/>
    <w:rsid w:val="00F81776"/>
    <w:rsid w:val="00F835AD"/>
    <w:rsid w:val="00F844FD"/>
    <w:rsid w:val="00F869A3"/>
    <w:rsid w:val="00F86FB3"/>
    <w:rsid w:val="00F97BF1"/>
    <w:rsid w:val="00FA05D3"/>
    <w:rsid w:val="00FA29D8"/>
    <w:rsid w:val="00FA5F5D"/>
    <w:rsid w:val="00FB0BA6"/>
    <w:rsid w:val="00FB760B"/>
    <w:rsid w:val="00FC29A0"/>
    <w:rsid w:val="00FC6C17"/>
    <w:rsid w:val="00FE48DB"/>
    <w:rsid w:val="00FF3620"/>
    <w:rsid w:val="00FF3A84"/>
    <w:rsid w:val="00FF5872"/>
    <w:rsid w:val="01110239"/>
    <w:rsid w:val="028847F9"/>
    <w:rsid w:val="03AA79F6"/>
    <w:rsid w:val="04741FE5"/>
    <w:rsid w:val="04DB02C7"/>
    <w:rsid w:val="04E32BE5"/>
    <w:rsid w:val="0661268A"/>
    <w:rsid w:val="06B856EE"/>
    <w:rsid w:val="07FE5938"/>
    <w:rsid w:val="084604BC"/>
    <w:rsid w:val="08883825"/>
    <w:rsid w:val="09725983"/>
    <w:rsid w:val="0A382BB5"/>
    <w:rsid w:val="0AA4543A"/>
    <w:rsid w:val="0BE61132"/>
    <w:rsid w:val="0C9B0DD6"/>
    <w:rsid w:val="0CE4791C"/>
    <w:rsid w:val="0E063C64"/>
    <w:rsid w:val="0F4C7B96"/>
    <w:rsid w:val="0FFB575E"/>
    <w:rsid w:val="10845F1B"/>
    <w:rsid w:val="11463A00"/>
    <w:rsid w:val="11600918"/>
    <w:rsid w:val="11B0398F"/>
    <w:rsid w:val="13B960C5"/>
    <w:rsid w:val="152777F4"/>
    <w:rsid w:val="15C674B6"/>
    <w:rsid w:val="18C7498C"/>
    <w:rsid w:val="18D54A0D"/>
    <w:rsid w:val="1A4106A0"/>
    <w:rsid w:val="1A4F5437"/>
    <w:rsid w:val="1AB77CD0"/>
    <w:rsid w:val="1E807156"/>
    <w:rsid w:val="1EA657F6"/>
    <w:rsid w:val="1F097CB6"/>
    <w:rsid w:val="2166156B"/>
    <w:rsid w:val="21B02D83"/>
    <w:rsid w:val="22A236F5"/>
    <w:rsid w:val="23995975"/>
    <w:rsid w:val="2432220E"/>
    <w:rsid w:val="248303BA"/>
    <w:rsid w:val="24837E47"/>
    <w:rsid w:val="252E01AA"/>
    <w:rsid w:val="2680023E"/>
    <w:rsid w:val="29680352"/>
    <w:rsid w:val="2A020F75"/>
    <w:rsid w:val="2B007AEE"/>
    <w:rsid w:val="2BC14C56"/>
    <w:rsid w:val="2C1B026F"/>
    <w:rsid w:val="2CC61F55"/>
    <w:rsid w:val="2EF7452F"/>
    <w:rsid w:val="2F1D13B4"/>
    <w:rsid w:val="2FAA3DA6"/>
    <w:rsid w:val="30682E1F"/>
    <w:rsid w:val="30E210D2"/>
    <w:rsid w:val="311371D6"/>
    <w:rsid w:val="31EB64C9"/>
    <w:rsid w:val="336D0D6F"/>
    <w:rsid w:val="338F0C65"/>
    <w:rsid w:val="352E4BEC"/>
    <w:rsid w:val="37DD1F59"/>
    <w:rsid w:val="37DD5594"/>
    <w:rsid w:val="38F24FA8"/>
    <w:rsid w:val="39833452"/>
    <w:rsid w:val="3A98342A"/>
    <w:rsid w:val="3AB6780E"/>
    <w:rsid w:val="3AD56D70"/>
    <w:rsid w:val="3B2920C2"/>
    <w:rsid w:val="3BE41ABD"/>
    <w:rsid w:val="3C5421A9"/>
    <w:rsid w:val="3D903B21"/>
    <w:rsid w:val="3F440741"/>
    <w:rsid w:val="41FC306C"/>
    <w:rsid w:val="44BE5554"/>
    <w:rsid w:val="451E0908"/>
    <w:rsid w:val="452C2D31"/>
    <w:rsid w:val="45D26E14"/>
    <w:rsid w:val="46A541B1"/>
    <w:rsid w:val="478A0B3F"/>
    <w:rsid w:val="48C57772"/>
    <w:rsid w:val="49782886"/>
    <w:rsid w:val="4A6F0D28"/>
    <w:rsid w:val="4AAF085C"/>
    <w:rsid w:val="4AEB7E60"/>
    <w:rsid w:val="4B4B135B"/>
    <w:rsid w:val="4BC7055F"/>
    <w:rsid w:val="4CFC7DB2"/>
    <w:rsid w:val="4E7C187D"/>
    <w:rsid w:val="508941AD"/>
    <w:rsid w:val="50BD6B5B"/>
    <w:rsid w:val="50E65530"/>
    <w:rsid w:val="51457139"/>
    <w:rsid w:val="51574DBD"/>
    <w:rsid w:val="51EC1DA8"/>
    <w:rsid w:val="52FC5524"/>
    <w:rsid w:val="532D7A17"/>
    <w:rsid w:val="54375A02"/>
    <w:rsid w:val="54AF4562"/>
    <w:rsid w:val="54C9674B"/>
    <w:rsid w:val="556318EA"/>
    <w:rsid w:val="55A60AA1"/>
    <w:rsid w:val="56451615"/>
    <w:rsid w:val="57FC5774"/>
    <w:rsid w:val="58F4067C"/>
    <w:rsid w:val="596A1C53"/>
    <w:rsid w:val="59B332C9"/>
    <w:rsid w:val="5A44758A"/>
    <w:rsid w:val="5BEC4BB3"/>
    <w:rsid w:val="5C070B55"/>
    <w:rsid w:val="5CB96DCE"/>
    <w:rsid w:val="5CE61580"/>
    <w:rsid w:val="5D175666"/>
    <w:rsid w:val="5D556A3C"/>
    <w:rsid w:val="5D7B25C9"/>
    <w:rsid w:val="5ECB44B4"/>
    <w:rsid w:val="5EE2043C"/>
    <w:rsid w:val="602D2E37"/>
    <w:rsid w:val="61460FBE"/>
    <w:rsid w:val="62775810"/>
    <w:rsid w:val="62D83744"/>
    <w:rsid w:val="630F4048"/>
    <w:rsid w:val="63AA02E5"/>
    <w:rsid w:val="64700DE9"/>
    <w:rsid w:val="65374DB1"/>
    <w:rsid w:val="65C613BD"/>
    <w:rsid w:val="65FD118C"/>
    <w:rsid w:val="682C3D89"/>
    <w:rsid w:val="68611305"/>
    <w:rsid w:val="6A162DE0"/>
    <w:rsid w:val="6A331428"/>
    <w:rsid w:val="6B1E086D"/>
    <w:rsid w:val="6B2E5CB6"/>
    <w:rsid w:val="6B3D4886"/>
    <w:rsid w:val="6DF8675E"/>
    <w:rsid w:val="6E5E5EEF"/>
    <w:rsid w:val="6EA80098"/>
    <w:rsid w:val="6F8D70FF"/>
    <w:rsid w:val="6FFE5011"/>
    <w:rsid w:val="7178734D"/>
    <w:rsid w:val="71791096"/>
    <w:rsid w:val="717B0C34"/>
    <w:rsid w:val="71FB78FD"/>
    <w:rsid w:val="7275064A"/>
    <w:rsid w:val="733F750B"/>
    <w:rsid w:val="735702E2"/>
    <w:rsid w:val="765F635A"/>
    <w:rsid w:val="76B73454"/>
    <w:rsid w:val="76D254BD"/>
    <w:rsid w:val="77727ACD"/>
    <w:rsid w:val="78071142"/>
    <w:rsid w:val="79296B37"/>
    <w:rsid w:val="7A4C4C40"/>
    <w:rsid w:val="7AA0518E"/>
    <w:rsid w:val="7B041636"/>
    <w:rsid w:val="7CA86749"/>
    <w:rsid w:val="7EC92370"/>
    <w:rsid w:val="7F2238B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unhideWhenUsed/>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2">
    <w:name w:val="annotation text"/>
    <w:basedOn w:val="1"/>
    <w:link w:val="12"/>
    <w:unhideWhenUsed/>
    <w:qFormat/>
    <w:uiPriority w:val="99"/>
    <w:pPr>
      <w:jc w:val="left"/>
    </w:pPr>
  </w:style>
  <w:style w:type="paragraph" w:styleId="3">
    <w:name w:val="Balloon Text"/>
    <w:basedOn w:val="1"/>
    <w:link w:val="14"/>
    <w:unhideWhenUsed/>
    <w:qFormat/>
    <w:uiPriority w:val="99"/>
    <w:rPr>
      <w:sz w:val="18"/>
      <w:szCs w:val="18"/>
    </w:rPr>
  </w:style>
  <w:style w:type="paragraph" w:styleId="4">
    <w:name w:val="footer"/>
    <w:basedOn w:val="1"/>
    <w:link w:val="11"/>
    <w:qFormat/>
    <w:uiPriority w:val="0"/>
    <w:pPr>
      <w:tabs>
        <w:tab w:val="center" w:pos="4153"/>
        <w:tab w:val="right" w:pos="8306"/>
      </w:tabs>
      <w:snapToGrid w:val="0"/>
      <w:jc w:val="left"/>
    </w:pPr>
    <w:rPr>
      <w:rFonts w:eastAsia="黑体"/>
      <w:snapToGrid w:val="0"/>
      <w:kern w:val="0"/>
      <w:sz w:val="18"/>
      <w:szCs w:val="18"/>
    </w:rPr>
  </w:style>
  <w:style w:type="paragraph" w:styleId="5">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3"/>
    <w:unhideWhenUsed/>
    <w:qFormat/>
    <w:uiPriority w:val="99"/>
    <w:rPr>
      <w:b/>
      <w:bCs/>
    </w:rPr>
  </w:style>
  <w:style w:type="character" w:styleId="9">
    <w:name w:val="page number"/>
    <w:basedOn w:val="8"/>
    <w:qFormat/>
    <w:uiPriority w:val="0"/>
  </w:style>
  <w:style w:type="character" w:styleId="10">
    <w:name w:val="annotation reference"/>
    <w:basedOn w:val="8"/>
    <w:unhideWhenUsed/>
    <w:qFormat/>
    <w:uiPriority w:val="99"/>
    <w:rPr>
      <w:sz w:val="21"/>
      <w:szCs w:val="21"/>
    </w:rPr>
  </w:style>
  <w:style w:type="character" w:customStyle="1" w:styleId="11">
    <w:name w:val="页脚 Char"/>
    <w:basedOn w:val="8"/>
    <w:link w:val="4"/>
    <w:qFormat/>
    <w:uiPriority w:val="0"/>
    <w:rPr>
      <w:rFonts w:ascii="Times New Roman" w:hAnsi="Times New Roman" w:eastAsia="黑体" w:cs="Times New Roman"/>
      <w:snapToGrid w:val="0"/>
      <w:kern w:val="0"/>
      <w:sz w:val="18"/>
      <w:szCs w:val="18"/>
    </w:rPr>
  </w:style>
  <w:style w:type="character" w:customStyle="1" w:styleId="12">
    <w:name w:val="批注文字 Char"/>
    <w:basedOn w:val="8"/>
    <w:link w:val="2"/>
    <w:semiHidden/>
    <w:qFormat/>
    <w:uiPriority w:val="99"/>
    <w:rPr>
      <w:rFonts w:ascii="Times New Roman" w:hAnsi="Times New Roman" w:eastAsia="宋体" w:cs="Times New Roman"/>
      <w:szCs w:val="24"/>
    </w:rPr>
  </w:style>
  <w:style w:type="character" w:customStyle="1" w:styleId="13">
    <w:name w:val="批注主题 Char"/>
    <w:basedOn w:val="12"/>
    <w:link w:val="6"/>
    <w:semiHidden/>
    <w:qFormat/>
    <w:uiPriority w:val="99"/>
    <w:rPr>
      <w:rFonts w:ascii="Times New Roman" w:hAnsi="Times New Roman" w:eastAsia="宋体" w:cs="Times New Roman"/>
      <w:b/>
      <w:bCs/>
      <w:szCs w:val="24"/>
    </w:rPr>
  </w:style>
  <w:style w:type="character" w:customStyle="1" w:styleId="14">
    <w:name w:val="批注框文本 Char"/>
    <w:basedOn w:val="8"/>
    <w:link w:val="3"/>
    <w:semiHidden/>
    <w:qFormat/>
    <w:uiPriority w:val="99"/>
    <w:rPr>
      <w:rFonts w:ascii="Times New Roman" w:hAnsi="Times New Roman" w:eastAsia="宋体" w:cs="Times New Roman"/>
      <w:sz w:val="18"/>
      <w:szCs w:val="18"/>
    </w:rPr>
  </w:style>
  <w:style w:type="character" w:customStyle="1" w:styleId="15">
    <w:name w:val="页眉 Char"/>
    <w:basedOn w:val="8"/>
    <w:link w:val="5"/>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24</Pages>
  <Words>2050</Words>
  <Characters>11689</Characters>
  <Lines>97</Lines>
  <Paragraphs>27</Paragraphs>
  <TotalTime>9</TotalTime>
  <ScaleCrop>false</ScaleCrop>
  <LinksUpToDate>false</LinksUpToDate>
  <CharactersWithSpaces>13712</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2019-05-30T09:42:00Z</dcterms:created>
  <dc:creator>Administrator</dc:creator>
  <cp:lastModifiedBy>Administrator</cp:lastModifiedBy>
  <dcterms:modified xsi:type="dcterms:W3CDTF">2023-12-01T10:26:58Z</dcterms:modified>
  <cp:revision>853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00B2560C3077429896638C1EEF890F04_12</vt:lpwstr>
  </property>
</Properties>
</file>