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9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9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ascii="黑体" w:hAnsi="黑体" w:eastAsia="黑体" w:cs="黑体"/>
          <w:color w:val="auto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 w:eastAsia="zh-TW"/>
        </w:rPr>
        <w:t>项目名称：爱国人士补助项目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实施单位（公章）：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val="zh-TW" w:eastAsia="zh-TW"/>
        </w:rPr>
        <w:t>叶城县巴仁乡人民政府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主管部门（公章）：</w:t>
      </w:r>
      <w:r>
        <w:rPr>
          <w:rFonts w:hint="eastAsia" w:ascii="黑体" w:hAnsi="黑体" w:eastAsia="黑体" w:cs="黑体"/>
          <w:kern w:val="0"/>
          <w:sz w:val="32"/>
          <w:szCs w:val="32"/>
          <w:u w:color="000000"/>
          <w:lang w:val="zh-TW" w:eastAsia="zh-TW"/>
        </w:rPr>
        <w:t>叶城县巴仁乡人民政府</w:t>
      </w:r>
    </w:p>
    <w:p>
      <w:pPr>
        <w:pStyle w:val="49"/>
        <w:spacing w:line="700" w:lineRule="exact"/>
        <w:ind w:firstLine="640" w:firstLineChars="200"/>
        <w:jc w:val="left"/>
        <w:rPr>
          <w:rFonts w:ascii="黑体" w:hAnsi="黑体" w:eastAsia="黑体" w:cs="黑体"/>
          <w:color w:val="auto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 w:eastAsia="zh-TW"/>
        </w:rPr>
        <w:t>项目负责人（签章）：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刘维平</w:t>
      </w:r>
    </w:p>
    <w:p>
      <w:pPr>
        <w:pStyle w:val="49"/>
        <w:spacing w:line="700" w:lineRule="exact"/>
        <w:ind w:firstLine="640" w:firstLineChars="200"/>
        <w:jc w:val="left"/>
        <w:rPr>
          <w:rFonts w:ascii="黑体" w:hAnsi="黑体" w:eastAsia="黑体" w:cs="黑体"/>
          <w:color w:val="auto"/>
          <w:kern w:val="0"/>
          <w:sz w:val="32"/>
          <w:szCs w:val="32"/>
          <w:lang w:val="zh-TW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 w:eastAsia="zh-TW"/>
        </w:rPr>
        <w:t>填报时间：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/>
        </w:rPr>
        <w:t>2018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 w:eastAsia="zh-TW"/>
        </w:rPr>
        <w:t>年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12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 w:eastAsia="zh-TW"/>
        </w:rPr>
        <w:t>月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/>
        </w:rPr>
        <w:t>5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zh-TW" w:eastAsia="zh-TW"/>
        </w:rPr>
        <w:t>日</w:t>
      </w:r>
    </w:p>
    <w:p>
      <w:pPr>
        <w:pStyle w:val="49"/>
        <w:spacing w:line="560" w:lineRule="exact"/>
        <w:ind w:firstLine="627" w:firstLineChars="200"/>
        <w:jc w:val="left"/>
        <w:rPr>
          <w:rStyle w:val="20"/>
          <w:rFonts w:ascii="仿宋_GB2312" w:hAnsi="黑体" w:eastAsia="仿宋_GB2312"/>
          <w:color w:val="auto"/>
          <w:spacing w:val="-4"/>
          <w:sz w:val="32"/>
          <w:szCs w:val="32"/>
        </w:rPr>
      </w:pP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方针政策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乡在叶城县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县委的正确领导下，叶城县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乡人民政府每月29日前对全乡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13名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爱国人士发放补贴，该补贴发放到具体人，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补贴金额1.506万元，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按照年度预算，通过该项目投入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提高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了爱国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人士的收入，让广大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爱国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人士感受到了党和政府的关怀，增强爱国人士的爱国爱党意识，充分调动爱国人士的积极性，发挥其在维护祖国统一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的作用。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二、项目资金使用及管理情况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仿宋_GB2312" w:hAnsi="楷体" w:eastAsia="仿宋_GB2312"/>
          <w:b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</w:t>
      </w:r>
      <w:r>
        <w:rPr>
          <w:rStyle w:val="20"/>
          <w:rFonts w:hint="eastAsia" w:ascii="仿宋_GB2312" w:hAnsi="楷体" w:eastAsia="仿宋_GB2312"/>
          <w:b w:val="0"/>
          <w:spacing w:val="-4"/>
          <w:sz w:val="32"/>
          <w:szCs w:val="32"/>
        </w:rPr>
        <w:t>项目资金安排落实、总投入等情况分析</w:t>
      </w:r>
    </w:p>
    <w:p>
      <w:pPr>
        <w:adjustRightInd w:val="0"/>
        <w:snapToGrid w:val="0"/>
        <w:spacing w:line="560" w:lineRule="exact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新财行【2018】0047号、喀地财行【2018】17号文件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要求，本项目资金1.506万元，其中财政资金1.506万元，其他资金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万元，资金到位1.506万元；资金到位率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新财行【2018】0047号、喀地财行【2018】17号文件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1.506万元，本项目实际支付资金1.506万元，预算执行率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全乡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名爱国人士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发放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补助1.506万元、结余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20"/>
          <w:rFonts w:ascii="仿宋_GB2312" w:hAnsi="仿宋" w:eastAsia="仿宋_GB2312"/>
          <w:b w:val="0"/>
          <w:bCs w:val="0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本项目资金严格按照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支付资金；资金支付由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分管领导、主管财务领导、财政局等各级部门审批审核；资金的支付有完整的审批程序和手续符合制度要求；不存在截留、挤占、挪用、虚列支出等情况。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巴仁乡2018年</w:t>
      </w:r>
      <w:r>
        <w:rPr>
          <w:rFonts w:hint="eastAsia" w:ascii="仿宋_GB2312" w:hAnsi="仿宋" w:eastAsia="仿宋_GB2312"/>
          <w:bCs/>
          <w:spacing w:val="-4"/>
          <w:sz w:val="32"/>
          <w:szCs w:val="32"/>
          <w:lang w:val="zh-TW" w:eastAsia="zh-TW"/>
        </w:rPr>
        <w:t>爱国人士补助项目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资金1.506万元，均为给爱国人士发放的补助，不需要进行招投标</w:t>
      </w:r>
      <w:r>
        <w:rPr>
          <w:rStyle w:val="20"/>
          <w:rFonts w:hint="eastAsia" w:ascii="仿宋_GB2312" w:hAnsi="仿宋" w:eastAsia="仿宋_GB2312"/>
          <w:b w:val="0"/>
          <w:spacing w:val="-4"/>
          <w:sz w:val="32"/>
          <w:szCs w:val="32"/>
        </w:rPr>
        <w:t>,由本单位自行组织实施。实施过程均按照本单位制定的管理制度执行。</w:t>
      </w:r>
    </w:p>
    <w:p>
      <w:pPr>
        <w:spacing w:line="560" w:lineRule="exact"/>
        <w:ind w:firstLine="312" w:firstLineChars="100"/>
        <w:jc w:val="left"/>
        <w:rPr>
          <w:rStyle w:val="20"/>
          <w:rFonts w:ascii="仿宋_GB2312" w:hAnsi="楷体" w:eastAsia="仿宋_GB2312"/>
          <w:b w:val="0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b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</w:t>
      </w:r>
      <w:r>
        <w:rPr>
          <w:rStyle w:val="20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人民政府在实施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中，根据《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管理办法》等，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严格遵守相关法律法规和业务管理规定，支出资料齐全并及时归档。已建立《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检查监督检查机制》，不定期对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进度情况进行督导检查，对检查过程中发现的问题及时督促整改，确保草原生态补助有效、高质量的完成。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 xml:space="preserve">四、项目绩效情况 </w:t>
      </w:r>
    </w:p>
    <w:p>
      <w:pPr>
        <w:spacing w:line="560" w:lineRule="exact"/>
        <w:ind w:firstLine="624" w:firstLineChars="200"/>
        <w:rPr>
          <w:rFonts w:ascii="仿宋_GB2312" w:hAnsi="楷体" w:eastAsia="仿宋_GB2312"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/>
          <w:bCs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本项目共设置一级指标3个，二级指标8个，三级指标10个，其中已完成三级指标10个，指标完成率为100%。根据年初设定的绩效目标，此项目自评得分为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分。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产出指标完成情况分析。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巴仁乡2018年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1.506万元，每月补助人数13人，补助月份2个月。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项目完成质量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巴仁乡2018年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  <w:lang w:val="zh-TW" w:eastAsia="zh-TW"/>
        </w:rPr>
        <w:t>爱国人士补助项目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资金保障率为100%，未出现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漏发、少发、多发等质量问题。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项目实施进度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该项目严格按照上级部门的进度要求，资金到位及时率100%,资金发放及时率100%,按项目进度进行资金拨付,目前已经全部实施完毕。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项目成本节约情况</w:t>
      </w:r>
    </w:p>
    <w:p>
      <w:pPr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该项目为补助类项目，补助标准579.23元/月/人。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因为该项目为资金补助类项目，从资金直观上，能为补助对象增收，受益群众人均增收579.23元。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" w:eastAsia="仿宋_GB2312" w:cs="仿宋_GB2312"/>
          <w:bCs/>
          <w:color w:val="000000"/>
          <w:spacing w:val="-4"/>
          <w:kern w:val="0"/>
          <w:sz w:val="32"/>
          <w:szCs w:val="32"/>
          <w:u w:color="000000"/>
          <w:lang w:val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的顺利实施，一定程度上提高了爱国人士的收入，让广大爱国人士感受到了党和政府的关怀，加强工作管理，确保工作发展,增强爱国人士的爱国爱党意识，充分调动爱国人士的积极性，发挥其在维护祖国统一上的作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该项目的顺利实施，不但能提高爱国人士的工作积极性，也能发挥服务社会的作用可持续1年，具有重要意义。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经过项目实施后的调研，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社会公众、受益群众满意率达9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楷体" w:eastAsia="仿宋_GB2312"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2018年本项目绩效目标全部达成，不存在未完成原因分析。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楷体" w:eastAsia="仿宋_GB2312"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后续工作计划：2019年我们将一如既往将继续按照上级部门的统一部署和工作安排，认真做好各项工作。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切实开展好爱国人士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的实施。采取有力措施：一是及时拨付项目资金；二是加大项目跟踪管理，争取将资金按时发放至全乡爱国人士手中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解决群众急需解决的问题，给农牧民带来 “看得见、摸得着”的实惠。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楷体" w:eastAsia="仿宋_GB2312"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/>
          <w:bCs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楷体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巴仁乡人民政府在实施2018年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爱国人士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中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，在年度预算时严格按照人员进行年度预算，严格执行《预算法》，严把支出关，确保了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爱国人士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各项经费按时足额保障到位，有效地杜绝了非预算支出，吃空饷、挤占挪用、虚报冒领等套取财政资金违规行为。</w:t>
      </w:r>
    </w:p>
    <w:p>
      <w:pPr>
        <w:numPr>
          <w:ilvl w:val="0"/>
          <w:numId w:val="5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 xml:space="preserve">    村级申报资金不及时，不能按时按要求提供上报信息数据。</w:t>
      </w:r>
    </w:p>
    <w:p>
      <w:pPr>
        <w:numPr>
          <w:ilvl w:val="0"/>
          <w:numId w:val="5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left="420" w:left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 xml:space="preserve"> 提高村级申报资金的准确性、及时性。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楷体" w:eastAsia="仿宋_GB2312"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无其他说明内容。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eastAsia="黑体"/>
          <w:bCs w:val="0"/>
          <w:color w:val="auto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本次评价通过文件研读、实地调研、数据分析等方式，全面了解巴仁乡人民政府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爱国人士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的使用效率和效果，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爱国人士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补助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管理过程是否规范，是否完成了预期绩效目标等。同时，通过开展自我评价来总结经验和教训。</w:t>
      </w:r>
    </w:p>
    <w:p>
      <w:pPr>
        <w:pStyle w:val="49"/>
        <w:spacing w:line="560" w:lineRule="exact"/>
        <w:ind w:firstLine="624" w:firstLineChars="200"/>
        <w:jc w:val="left"/>
        <w:rPr>
          <w:rStyle w:val="20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仿宋_GB2312" w:hAnsi="仿宋" w:eastAsia="仿宋_GB2312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Style w:val="20"/>
          <w:rFonts w:ascii="仿宋" w:hAnsi="仿宋" w:eastAsia="仿宋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2F17C"/>
    <w:multiLevelType w:val="singleLevel"/>
    <w:tmpl w:val="A622F17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90E3338"/>
    <w:multiLevelType w:val="singleLevel"/>
    <w:tmpl w:val="E90E3338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DABE895"/>
    <w:multiLevelType w:val="singleLevel"/>
    <w:tmpl w:val="5DABE895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DABEA61"/>
    <w:multiLevelType w:val="singleLevel"/>
    <w:tmpl w:val="5DABEA61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DABED32"/>
    <w:multiLevelType w:val="singleLevel"/>
    <w:tmpl w:val="5DABED32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00BA4"/>
    <w:rsid w:val="00067A09"/>
    <w:rsid w:val="00075299"/>
    <w:rsid w:val="000D5105"/>
    <w:rsid w:val="000E49C8"/>
    <w:rsid w:val="001105CF"/>
    <w:rsid w:val="001129B7"/>
    <w:rsid w:val="00116EA2"/>
    <w:rsid w:val="0012208E"/>
    <w:rsid w:val="0012539F"/>
    <w:rsid w:val="00135256"/>
    <w:rsid w:val="001732C4"/>
    <w:rsid w:val="001772A1"/>
    <w:rsid w:val="001A4E1F"/>
    <w:rsid w:val="001A57B9"/>
    <w:rsid w:val="001C3847"/>
    <w:rsid w:val="001F3031"/>
    <w:rsid w:val="001F685C"/>
    <w:rsid w:val="002040A8"/>
    <w:rsid w:val="00210A26"/>
    <w:rsid w:val="002454A7"/>
    <w:rsid w:val="002715AF"/>
    <w:rsid w:val="00276502"/>
    <w:rsid w:val="002A2532"/>
    <w:rsid w:val="002A6031"/>
    <w:rsid w:val="002E3D44"/>
    <w:rsid w:val="003245D0"/>
    <w:rsid w:val="00365250"/>
    <w:rsid w:val="00365DE1"/>
    <w:rsid w:val="0036624C"/>
    <w:rsid w:val="00371DFB"/>
    <w:rsid w:val="00385849"/>
    <w:rsid w:val="00397290"/>
    <w:rsid w:val="003A2D64"/>
    <w:rsid w:val="003D33CA"/>
    <w:rsid w:val="004A009A"/>
    <w:rsid w:val="0050167F"/>
    <w:rsid w:val="00514506"/>
    <w:rsid w:val="005162F1"/>
    <w:rsid w:val="00516E80"/>
    <w:rsid w:val="00535153"/>
    <w:rsid w:val="00575CFE"/>
    <w:rsid w:val="00583AFC"/>
    <w:rsid w:val="0059252A"/>
    <w:rsid w:val="00592D09"/>
    <w:rsid w:val="00636822"/>
    <w:rsid w:val="00642957"/>
    <w:rsid w:val="006453C2"/>
    <w:rsid w:val="00667AD9"/>
    <w:rsid w:val="00675D58"/>
    <w:rsid w:val="006D199B"/>
    <w:rsid w:val="006D3BE3"/>
    <w:rsid w:val="006D6F0E"/>
    <w:rsid w:val="006F0705"/>
    <w:rsid w:val="006F2E6D"/>
    <w:rsid w:val="007218B8"/>
    <w:rsid w:val="00733961"/>
    <w:rsid w:val="00736BAA"/>
    <w:rsid w:val="00755C6A"/>
    <w:rsid w:val="00785D8F"/>
    <w:rsid w:val="00785FDE"/>
    <w:rsid w:val="007910A9"/>
    <w:rsid w:val="007A0351"/>
    <w:rsid w:val="007A14BC"/>
    <w:rsid w:val="007B6B97"/>
    <w:rsid w:val="007C1025"/>
    <w:rsid w:val="007E6845"/>
    <w:rsid w:val="007F5F8A"/>
    <w:rsid w:val="00811092"/>
    <w:rsid w:val="00826CA1"/>
    <w:rsid w:val="00830672"/>
    <w:rsid w:val="00835B7F"/>
    <w:rsid w:val="0083705D"/>
    <w:rsid w:val="00855E3A"/>
    <w:rsid w:val="00922CB9"/>
    <w:rsid w:val="009350F7"/>
    <w:rsid w:val="00974522"/>
    <w:rsid w:val="00990479"/>
    <w:rsid w:val="0099570D"/>
    <w:rsid w:val="009A20CA"/>
    <w:rsid w:val="009B526F"/>
    <w:rsid w:val="009B7FB9"/>
    <w:rsid w:val="009C1AFD"/>
    <w:rsid w:val="009D72B3"/>
    <w:rsid w:val="00A2344D"/>
    <w:rsid w:val="00A26421"/>
    <w:rsid w:val="00A42887"/>
    <w:rsid w:val="00A4293B"/>
    <w:rsid w:val="00A5033C"/>
    <w:rsid w:val="00A7472B"/>
    <w:rsid w:val="00A83BD5"/>
    <w:rsid w:val="00A977DF"/>
    <w:rsid w:val="00B06CA5"/>
    <w:rsid w:val="00B3598C"/>
    <w:rsid w:val="00B41F61"/>
    <w:rsid w:val="00B55332"/>
    <w:rsid w:val="00B61F44"/>
    <w:rsid w:val="00B62764"/>
    <w:rsid w:val="00B76E1F"/>
    <w:rsid w:val="00B8338B"/>
    <w:rsid w:val="00B86E8C"/>
    <w:rsid w:val="00BE1A00"/>
    <w:rsid w:val="00C22CF0"/>
    <w:rsid w:val="00C51EFB"/>
    <w:rsid w:val="00C56C72"/>
    <w:rsid w:val="00C953C7"/>
    <w:rsid w:val="00CA6457"/>
    <w:rsid w:val="00CC6E4D"/>
    <w:rsid w:val="00D17F2E"/>
    <w:rsid w:val="00D46194"/>
    <w:rsid w:val="00D903DD"/>
    <w:rsid w:val="00DD7890"/>
    <w:rsid w:val="00E01293"/>
    <w:rsid w:val="00E027D1"/>
    <w:rsid w:val="00E26E87"/>
    <w:rsid w:val="00E36EBB"/>
    <w:rsid w:val="00E478C8"/>
    <w:rsid w:val="00E53351"/>
    <w:rsid w:val="00E769FE"/>
    <w:rsid w:val="00EA2CBE"/>
    <w:rsid w:val="00F32FEE"/>
    <w:rsid w:val="03A97E8A"/>
    <w:rsid w:val="03BF20F6"/>
    <w:rsid w:val="048F111A"/>
    <w:rsid w:val="04A762F7"/>
    <w:rsid w:val="0A0C3703"/>
    <w:rsid w:val="0C380548"/>
    <w:rsid w:val="0C7E1078"/>
    <w:rsid w:val="0CD13814"/>
    <w:rsid w:val="10320598"/>
    <w:rsid w:val="10371D66"/>
    <w:rsid w:val="10471EAC"/>
    <w:rsid w:val="117F0AEA"/>
    <w:rsid w:val="13DA2A65"/>
    <w:rsid w:val="16063853"/>
    <w:rsid w:val="1AAF3AA4"/>
    <w:rsid w:val="1B094291"/>
    <w:rsid w:val="1D7C7A83"/>
    <w:rsid w:val="1DEB34D6"/>
    <w:rsid w:val="1E57617F"/>
    <w:rsid w:val="20A626D5"/>
    <w:rsid w:val="22740843"/>
    <w:rsid w:val="234A1C1D"/>
    <w:rsid w:val="2660205F"/>
    <w:rsid w:val="275238BF"/>
    <w:rsid w:val="2C746B6F"/>
    <w:rsid w:val="2E9E47EE"/>
    <w:rsid w:val="2EBD26E9"/>
    <w:rsid w:val="2F745A8D"/>
    <w:rsid w:val="30241AAF"/>
    <w:rsid w:val="30526873"/>
    <w:rsid w:val="31572481"/>
    <w:rsid w:val="3226546F"/>
    <w:rsid w:val="325C1E06"/>
    <w:rsid w:val="32952BA1"/>
    <w:rsid w:val="3310502C"/>
    <w:rsid w:val="337C6903"/>
    <w:rsid w:val="33EE15BE"/>
    <w:rsid w:val="35B46001"/>
    <w:rsid w:val="394F5946"/>
    <w:rsid w:val="3A186715"/>
    <w:rsid w:val="3C5C4380"/>
    <w:rsid w:val="40B8711D"/>
    <w:rsid w:val="416A22A6"/>
    <w:rsid w:val="42BA7D49"/>
    <w:rsid w:val="433F4A0F"/>
    <w:rsid w:val="438B6593"/>
    <w:rsid w:val="463055A5"/>
    <w:rsid w:val="463E3A52"/>
    <w:rsid w:val="4879324D"/>
    <w:rsid w:val="49545B56"/>
    <w:rsid w:val="49E26321"/>
    <w:rsid w:val="4A79336A"/>
    <w:rsid w:val="4AFB5DAA"/>
    <w:rsid w:val="4B0831AA"/>
    <w:rsid w:val="4B4D6BD2"/>
    <w:rsid w:val="4C2437C6"/>
    <w:rsid w:val="4E907573"/>
    <w:rsid w:val="4FC2005E"/>
    <w:rsid w:val="517B4E8A"/>
    <w:rsid w:val="51A26337"/>
    <w:rsid w:val="53735273"/>
    <w:rsid w:val="5453119F"/>
    <w:rsid w:val="549A353A"/>
    <w:rsid w:val="55F94BDC"/>
    <w:rsid w:val="56994A0A"/>
    <w:rsid w:val="5A153417"/>
    <w:rsid w:val="5A863F94"/>
    <w:rsid w:val="5A87596F"/>
    <w:rsid w:val="5B970275"/>
    <w:rsid w:val="5BB37935"/>
    <w:rsid w:val="5C405231"/>
    <w:rsid w:val="5D4457F8"/>
    <w:rsid w:val="5D607049"/>
    <w:rsid w:val="5E3A35FC"/>
    <w:rsid w:val="5E7C340B"/>
    <w:rsid w:val="5E846B25"/>
    <w:rsid w:val="61772685"/>
    <w:rsid w:val="61F56EED"/>
    <w:rsid w:val="621F2AFF"/>
    <w:rsid w:val="66E71D46"/>
    <w:rsid w:val="68252A51"/>
    <w:rsid w:val="6AD00083"/>
    <w:rsid w:val="6B0B3375"/>
    <w:rsid w:val="70E1195A"/>
    <w:rsid w:val="72A412F1"/>
    <w:rsid w:val="73437BA1"/>
    <w:rsid w:val="753C06F8"/>
    <w:rsid w:val="75432F97"/>
    <w:rsid w:val="75CD2437"/>
    <w:rsid w:val="771C361A"/>
    <w:rsid w:val="79152328"/>
    <w:rsid w:val="7B716BB7"/>
    <w:rsid w:val="7B835B6B"/>
    <w:rsid w:val="7BFF0A0D"/>
    <w:rsid w:val="7CC44030"/>
    <w:rsid w:val="7D2910E2"/>
    <w:rsid w:val="7D2B3C16"/>
    <w:rsid w:val="7DED5D0B"/>
    <w:rsid w:val="7E4033D2"/>
    <w:rsid w:val="7F51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unhideWhenUsed/>
    <w:qFormat/>
    <w:uiPriority w:val="99"/>
    <w:pPr>
      <w:widowControl/>
      <w:spacing w:before="30" w:after="30"/>
      <w:ind w:firstLine="480"/>
      <w:jc w:val="left"/>
    </w:pPr>
    <w:rPr>
      <w:rFonts w:ascii="宋体" w:hAnsi="宋体" w:cs="宋体"/>
      <w:color w:val="000000"/>
      <w:kern w:val="0"/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28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29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Char"/>
    <w:basedOn w:val="19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3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4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5">
    <w:name w:val="引用1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Char"/>
    <w:basedOn w:val="19"/>
    <w:link w:val="35"/>
    <w:qFormat/>
    <w:uiPriority w:val="29"/>
    <w:rPr>
      <w:i/>
      <w:sz w:val="24"/>
      <w:szCs w:val="24"/>
    </w:rPr>
  </w:style>
  <w:style w:type="paragraph" w:customStyle="1" w:styleId="37">
    <w:name w:val="明显引用1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Char"/>
    <w:basedOn w:val="19"/>
    <w:link w:val="37"/>
    <w:qFormat/>
    <w:uiPriority w:val="30"/>
    <w:rPr>
      <w:b/>
      <w:i/>
      <w:sz w:val="24"/>
    </w:rPr>
  </w:style>
  <w:style w:type="character" w:customStyle="1" w:styleId="39">
    <w:name w:val="不明显强调1"/>
    <w:qFormat/>
    <w:uiPriority w:val="19"/>
    <w:rPr>
      <w:i/>
      <w:color w:val="595959" w:themeColor="text1" w:themeTint="A5"/>
    </w:rPr>
  </w:style>
  <w:style w:type="character" w:customStyle="1" w:styleId="40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1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2">
    <w:name w:val="明显参考1"/>
    <w:basedOn w:val="19"/>
    <w:qFormat/>
    <w:uiPriority w:val="32"/>
    <w:rPr>
      <w:b/>
      <w:sz w:val="24"/>
      <w:u w:val="single"/>
    </w:rPr>
  </w:style>
  <w:style w:type="character" w:customStyle="1" w:styleId="43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8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9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50">
    <w:name w:val="font31"/>
    <w:basedOn w:val="1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AE5F14-E209-4408-BDCC-9526FAAF56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412</Words>
  <Characters>2349</Characters>
  <Lines>19</Lines>
  <Paragraphs>5</Paragraphs>
  <TotalTime>19</TotalTime>
  <ScaleCrop>false</ScaleCrop>
  <LinksUpToDate>false</LinksUpToDate>
  <CharactersWithSpaces>2756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2024-01-15T05:44:43Z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