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项目名称：彩票公益金项目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项目负责人（签章）：刘维平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政策指示，把党的各项优惠政策落实到实处，负责全乡经济社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新财综〔2018〕10号、喀地财综［2018］4号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彩票公益金项目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12万元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主要用于5村、7村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村级文化建设，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购买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跳舞队员衣服50套，台球桌2个，宣传栏20个，健身器材20套，桌椅60套，运动员衣服100套，丰富群众文体活动内容，提高群众的生活质量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新财综〔2018〕10号、喀地财综［2018］4号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要求，本项目资金12万元，其中财政资金12万元，其他资金0万元，2018年实际收到预算资金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新财综〔2018〕10号、喀地财综［2018］4号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要求，到位资金12万元，本项目实际支付资金12万元，预算执行率100.00%。项目资金主要用于支付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5村、7村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彩票公益金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12万元，结余0万元。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彩票公益金项目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支出符合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《行政单位财务管理制度及办法》等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制度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资金12万元，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属于经常性零星项目,按照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5村、7村实际购买文体设备及用品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情况进行支出，没有达到招投标限额,由本单位自行组织实施。实施过程均按照本单位制定的管理制度执行。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本项目不存在检查验收程序。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乡彩票公益金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支出过程中，根据《基本预算支出管理办法》等，项目支出严格遵守相关法律法规和业务管理规定，支出资料齐全并及时归档。已建立《基本预算支出日常检查监督检查机制》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不定期对基本支出进度情况进行督导检查，对检查过程中发现的问题及时督促整改，确保基本支出有效、高质量的完成。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彩票公益金项目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购买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跳舞队员衣服50套，台球桌2个，宣传栏20个，健身器材20套，桌椅60套，运动员衣服100套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彩票公益金项目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购买物品质量合格率100%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未出现质量问题。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）项目实施进度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项目按照项目进度现已完成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，资金拨付及时率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跳舞队员衣服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100元/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套，台球桌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4500/个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，宣传栏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500元/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个，健身器材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2500元/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套，桌椅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600元/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套，运动员衣服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100元/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，无任何节约成本情况。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况分析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" w:eastAsia="仿宋_GB2312" w:cs="仿宋"/>
          <w:spacing w:val="-4"/>
          <w:sz w:val="32"/>
          <w:szCs w:val="32"/>
        </w:rPr>
        <w:t>（1）项目实施的经济效益分析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 w:cs="仿宋"/>
          <w:b/>
          <w:bCs/>
          <w:spacing w:val="-4"/>
          <w:sz w:val="32"/>
          <w:szCs w:val="32"/>
        </w:rPr>
        <w:t>（</w:t>
      </w:r>
      <w:r>
        <w:rPr>
          <w:rFonts w:hint="eastAsia" w:ascii="仿宋_GB2312" w:hAnsi="仿宋" w:eastAsia="仿宋_GB2312" w:cs="仿宋"/>
          <w:spacing w:val="-4"/>
          <w:sz w:val="32"/>
          <w:szCs w:val="32"/>
        </w:rPr>
        <w:t>2）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项目实施的社会效益分析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彩票公益金项目的实施，使得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群众对政府服务满意度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达98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取得良好的社会效应。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彩票公益金项目的实施，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文化活动持续影响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年限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5年，截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目前可持续影响指标未出现偏差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按计划完成项目实施，已做满意度调查问卷，群众满意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达98%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2019年本项目绩效目标全部达成，不存在未完成原因分析。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后续工作计划：2019年我们将一如既往将继续按照上级部门的统一部署和工作安排，认真做好各项工作。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1、认真做好2019年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公益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项目的申报。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2、切实开展好村级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彩票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公益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项目的实施。采取有力措施：一是及时拨付项目资金；二是加大项目跟踪管理，让资金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及时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支付至商家；三是加快项目资金支付进度，确保当年的资金除去质保金以外全部支付完毕；四是做好项目档案收集与整理，当年的项目全部归档存档；五是做好项目绩效申报与自评，确保项目实施后达到取得的效果，给农牧民带来 “看得见、摸得着”的实惠。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次评价通过文件研读、实地调研、数据分析等方式，全面了解2018年彩票公益金项目资金的使用效率和效果，项目管理过程符合相关项目管理制度，完成了预期绩效目标及社会综合效益等。同时，通过开展自我评价来总结经验和教训，为彩票公益金项目今后的开展提供参考建议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无其他说明内容。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查阅彩票公益金项目资金的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拨付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手续等档案资料是否齐全，查看会计记账凭证项目资金使用是否正确和资金是否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支付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完毕，与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受益村村民通过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座谈等方式了解项目实施的效果及带来的社会效益。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《喀什地区财政项目支出绩效自评表》</w:t>
      </w:r>
    </w:p>
    <w:p>
      <w:pPr>
        <w:widowControl/>
        <w:ind w:firstLine="600" w:firstLineChars="200"/>
        <w:jc w:val="lef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4B35"/>
    <w:rsid w:val="00056465"/>
    <w:rsid w:val="000B766C"/>
    <w:rsid w:val="00121AE4"/>
    <w:rsid w:val="00136BCC"/>
    <w:rsid w:val="00146AAD"/>
    <w:rsid w:val="00181869"/>
    <w:rsid w:val="001B23F1"/>
    <w:rsid w:val="001B3A40"/>
    <w:rsid w:val="001D1ADD"/>
    <w:rsid w:val="001D4851"/>
    <w:rsid w:val="001D6A5C"/>
    <w:rsid w:val="001F36DF"/>
    <w:rsid w:val="00220617"/>
    <w:rsid w:val="002B5FEF"/>
    <w:rsid w:val="00311626"/>
    <w:rsid w:val="00321CBD"/>
    <w:rsid w:val="00331B09"/>
    <w:rsid w:val="00335618"/>
    <w:rsid w:val="00347D87"/>
    <w:rsid w:val="003C2CF9"/>
    <w:rsid w:val="003D7A4C"/>
    <w:rsid w:val="003E2206"/>
    <w:rsid w:val="004366A8"/>
    <w:rsid w:val="00502BA7"/>
    <w:rsid w:val="005162F1"/>
    <w:rsid w:val="00535153"/>
    <w:rsid w:val="00554F82"/>
    <w:rsid w:val="0056390D"/>
    <w:rsid w:val="005719B0"/>
    <w:rsid w:val="005858D8"/>
    <w:rsid w:val="005D10D6"/>
    <w:rsid w:val="00615719"/>
    <w:rsid w:val="0063597F"/>
    <w:rsid w:val="00656E69"/>
    <w:rsid w:val="006E4C97"/>
    <w:rsid w:val="00761B82"/>
    <w:rsid w:val="00787252"/>
    <w:rsid w:val="007A593B"/>
    <w:rsid w:val="007D32F0"/>
    <w:rsid w:val="007E6716"/>
    <w:rsid w:val="00842449"/>
    <w:rsid w:val="00855E3A"/>
    <w:rsid w:val="00871100"/>
    <w:rsid w:val="008E6B23"/>
    <w:rsid w:val="008F2612"/>
    <w:rsid w:val="00922CB9"/>
    <w:rsid w:val="0094274D"/>
    <w:rsid w:val="0099379F"/>
    <w:rsid w:val="009E5CD9"/>
    <w:rsid w:val="00A26421"/>
    <w:rsid w:val="00A4293B"/>
    <w:rsid w:val="00A57168"/>
    <w:rsid w:val="00A67D50"/>
    <w:rsid w:val="00A8691A"/>
    <w:rsid w:val="00AA78D4"/>
    <w:rsid w:val="00AC1946"/>
    <w:rsid w:val="00B40063"/>
    <w:rsid w:val="00B41F61"/>
    <w:rsid w:val="00B47CAA"/>
    <w:rsid w:val="00BA2447"/>
    <w:rsid w:val="00BA46E6"/>
    <w:rsid w:val="00BD1DDE"/>
    <w:rsid w:val="00BD2AF2"/>
    <w:rsid w:val="00BE3BEA"/>
    <w:rsid w:val="00BF7355"/>
    <w:rsid w:val="00C56C72"/>
    <w:rsid w:val="00C631A7"/>
    <w:rsid w:val="00C87A8E"/>
    <w:rsid w:val="00C95952"/>
    <w:rsid w:val="00CA6457"/>
    <w:rsid w:val="00CB0722"/>
    <w:rsid w:val="00CD3698"/>
    <w:rsid w:val="00D05F9D"/>
    <w:rsid w:val="00D17F2E"/>
    <w:rsid w:val="00D30354"/>
    <w:rsid w:val="00D35A5E"/>
    <w:rsid w:val="00D850E3"/>
    <w:rsid w:val="00DD1016"/>
    <w:rsid w:val="00DF42A0"/>
    <w:rsid w:val="00E3080C"/>
    <w:rsid w:val="00E32AE0"/>
    <w:rsid w:val="00E4386F"/>
    <w:rsid w:val="00E564B5"/>
    <w:rsid w:val="00E769FE"/>
    <w:rsid w:val="00E857B3"/>
    <w:rsid w:val="00EA2CBE"/>
    <w:rsid w:val="00F1153E"/>
    <w:rsid w:val="00F32FEE"/>
    <w:rsid w:val="00FB10BB"/>
    <w:rsid w:val="00FB6C38"/>
    <w:rsid w:val="00FC3B55"/>
    <w:rsid w:val="00FE11B9"/>
    <w:rsid w:val="00FF21A9"/>
    <w:rsid w:val="02447AD0"/>
    <w:rsid w:val="02E37DE9"/>
    <w:rsid w:val="06360B40"/>
    <w:rsid w:val="06931C25"/>
    <w:rsid w:val="0B591D5B"/>
    <w:rsid w:val="0D5D5A45"/>
    <w:rsid w:val="12BE362E"/>
    <w:rsid w:val="163E7B1E"/>
    <w:rsid w:val="17E421EC"/>
    <w:rsid w:val="1CB00A73"/>
    <w:rsid w:val="200B3CF5"/>
    <w:rsid w:val="20194056"/>
    <w:rsid w:val="25E9358C"/>
    <w:rsid w:val="27086918"/>
    <w:rsid w:val="2AAE098A"/>
    <w:rsid w:val="2EE735AA"/>
    <w:rsid w:val="2FB405B7"/>
    <w:rsid w:val="32A310AC"/>
    <w:rsid w:val="347362C2"/>
    <w:rsid w:val="37043557"/>
    <w:rsid w:val="38E32B0B"/>
    <w:rsid w:val="3AF550A9"/>
    <w:rsid w:val="3B45160F"/>
    <w:rsid w:val="3B626C72"/>
    <w:rsid w:val="42732B0D"/>
    <w:rsid w:val="42846B10"/>
    <w:rsid w:val="43196823"/>
    <w:rsid w:val="45197F2D"/>
    <w:rsid w:val="45540EB2"/>
    <w:rsid w:val="474F2687"/>
    <w:rsid w:val="48DE2BBB"/>
    <w:rsid w:val="4BEE28AC"/>
    <w:rsid w:val="4E6327FE"/>
    <w:rsid w:val="50E95131"/>
    <w:rsid w:val="524F5CD2"/>
    <w:rsid w:val="53256C3B"/>
    <w:rsid w:val="5A2A6B93"/>
    <w:rsid w:val="5E3C134F"/>
    <w:rsid w:val="5E4F6B98"/>
    <w:rsid w:val="62B11766"/>
    <w:rsid w:val="63C578F6"/>
    <w:rsid w:val="670C3225"/>
    <w:rsid w:val="6D7A0A6E"/>
    <w:rsid w:val="6D8E37B4"/>
    <w:rsid w:val="70DA45DE"/>
    <w:rsid w:val="71D41F85"/>
    <w:rsid w:val="722E59A8"/>
    <w:rsid w:val="76C25423"/>
    <w:rsid w:val="775E473B"/>
    <w:rsid w:val="7ADA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373</Words>
  <Characters>2128</Characters>
  <Lines>17</Lines>
  <Paragraphs>4</Paragraphs>
  <TotalTime>0</TotalTime>
  <ScaleCrop>false</ScaleCrop>
  <LinksUpToDate>false</LinksUpToDate>
  <CharactersWithSpaces>2497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2024-01-15T05:48:13Z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