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b/>
          <w:color w:val="000000"/>
          <w:sz w:val="44"/>
          <w:szCs w:val="44"/>
        </w:rPr>
      </w:pPr>
      <w:r>
        <w:rPr>
          <w:rFonts w:hint="eastAsia" w:ascii="黑体" w:hAnsi="黑体" w:eastAsia="黑体" w:cs="黑体"/>
          <w:b/>
          <w:color w:val="000000"/>
          <w:sz w:val="44"/>
          <w:szCs w:val="44"/>
        </w:rPr>
        <w:t>自治区财政项目支出绩效自评报告</w:t>
      </w:r>
    </w:p>
    <w:p>
      <w:pPr>
        <w:spacing w:line="540" w:lineRule="exact"/>
        <w:jc w:val="center"/>
        <w:rPr>
          <w:rFonts w:ascii="黑体" w:hAnsi="黑体" w:eastAsia="黑体" w:cs="黑体"/>
          <w:b/>
          <w:kern w:val="0"/>
          <w:sz w:val="32"/>
          <w:szCs w:val="32"/>
        </w:rPr>
      </w:pPr>
    </w:p>
    <w:p>
      <w:pPr>
        <w:spacing w:line="540" w:lineRule="exact"/>
        <w:jc w:val="center"/>
        <w:rPr>
          <w:rFonts w:ascii="黑体" w:hAnsi="黑体" w:eastAsia="黑体" w:cs="黑体"/>
          <w:kern w:val="0"/>
          <w:sz w:val="32"/>
          <w:szCs w:val="32"/>
        </w:rPr>
      </w:pPr>
      <w:r>
        <w:rPr>
          <w:rFonts w:hint="eastAsia" w:ascii="黑体" w:hAnsi="黑体" w:eastAsia="黑体" w:cs="黑体"/>
          <w:kern w:val="0"/>
          <w:sz w:val="32"/>
          <w:szCs w:val="32"/>
        </w:rPr>
        <w:t>（2018 年度）</w:t>
      </w: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rPr>
          <w:rFonts w:ascii="黑体" w:hAnsi="黑体" w:eastAsia="黑体" w:cs="黑体"/>
          <w:kern w:val="0"/>
          <w:sz w:val="32"/>
          <w:szCs w:val="32"/>
        </w:rPr>
      </w:pP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项目名称：县级公用经费项目</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实施单位（公章）：叶城县喀格勒克镇人民政府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主管部门（公章）：叶城县喀格勒克镇人民政府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项目负责人（签章）：肖敏</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填报时间：2018 年 12 月 25日</w:t>
      </w:r>
    </w:p>
    <w:p>
      <w:pPr>
        <w:spacing w:line="540" w:lineRule="exact"/>
        <w:jc w:val="center"/>
        <w:rPr>
          <w:rFonts w:ascii="黑体" w:hAnsi="黑体" w:eastAsia="黑体" w:cs="黑体"/>
          <w:kern w:val="0"/>
          <w:sz w:val="32"/>
          <w:szCs w:val="32"/>
        </w:rPr>
      </w:pPr>
    </w:p>
    <w:p>
      <w:pPr>
        <w:spacing w:line="540" w:lineRule="exact"/>
        <w:rPr>
          <w:rStyle w:val="18"/>
          <w:rFonts w:ascii="黑体" w:hAnsi="黑体" w:eastAsia="黑体"/>
          <w:b w:val="0"/>
          <w:spacing w:val="-4"/>
          <w:sz w:val="32"/>
          <w:szCs w:val="32"/>
        </w:rPr>
      </w:pP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一、项目概况</w:t>
      </w:r>
    </w:p>
    <w:p>
      <w:pPr>
        <w:spacing w:line="560" w:lineRule="exact"/>
        <w:ind w:firstLine="567"/>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（一）项目单位基本情况</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叶城县喀格勒克镇属机关行政部门，乡科级行政单位，辖10个社区；全镇有43915多居民，10899户，全镇维吾尔族占97%。</w:t>
      </w:r>
      <w:r>
        <w:rPr>
          <w:rFonts w:hint="eastAsia" w:ascii="仿宋_GB2312" w:hAnsi="仿宋_GB2312" w:eastAsia="仿宋_GB2312" w:cs="仿宋_GB2312"/>
          <w:bCs/>
          <w:sz w:val="32"/>
          <w:szCs w:val="32"/>
        </w:rPr>
        <w:t>其中行政编制78人，行政（工勤）2人，参照公务员法管理人员编制7人，全额事业人员编制100人，自收自支编0人。</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主要职能：负责全镇党政行政管理事务。</w:t>
      </w:r>
      <w:bookmarkStart w:id="0" w:name="_GoBack"/>
      <w:bookmarkEnd w:id="0"/>
      <w:r>
        <w:rPr>
          <w:rFonts w:hint="eastAsia" w:ascii="仿宋_GB2312" w:hAnsi="仿宋_GB2312" w:eastAsia="仿宋_GB2312" w:cs="仿宋_GB2312"/>
          <w:bCs/>
          <w:sz w:val="32"/>
          <w:szCs w:val="32"/>
        </w:rPr>
        <w:t>负责全镇经济社会发展、社会事务管理、基层组织建设等全面工作。以全面建设社会主义新农村为根本出发点，不断深化美丽乡村建设，不断铸牢全镇经济社会发展基础，为全镇居民提供社会服务。</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（二）项目预算绩效目标设定情况</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1、项目预期目标及阶段性目标</w:t>
      </w:r>
    </w:p>
    <w:p>
      <w:pPr>
        <w:adjustRightInd w:val="0"/>
        <w:snapToGrid w:val="0"/>
        <w:spacing w:line="560" w:lineRule="exact"/>
        <w:ind w:firstLine="640" w:firstLineChars="200"/>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保障镇机关站所高效正常开展工作。2018年工作经费支出31.43万元，其中：办公经费支出23.99万元，办公设备购置支出7.44万元。按年度工作计划，确保全镇机关、站所办公需求。</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2、项目基本性质</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color w:val="000000"/>
          <w:spacing w:val="-4"/>
          <w:sz w:val="32"/>
          <w:szCs w:val="32"/>
        </w:rPr>
        <w:t>根据新财行〔2015〕335号、喀地财社［2017］12号文件，</w:t>
      </w:r>
      <w:r>
        <w:rPr>
          <w:rFonts w:hint="eastAsia" w:ascii="仿宋_GB2312" w:hAnsi="仿宋_GB2312" w:eastAsia="仿宋_GB2312" w:cs="仿宋_GB2312"/>
          <w:bCs/>
          <w:spacing w:val="-4"/>
          <w:sz w:val="32"/>
          <w:szCs w:val="32"/>
        </w:rPr>
        <w:t>本项目性质为延续项目。</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color w:val="000000"/>
          <w:spacing w:val="-4"/>
          <w:sz w:val="32"/>
          <w:szCs w:val="32"/>
        </w:rPr>
        <w:t>3、</w:t>
      </w:r>
      <w:r>
        <w:rPr>
          <w:rFonts w:hint="eastAsia" w:ascii="仿宋_GB2312" w:hAnsi="仿宋_GB2312" w:eastAsia="仿宋_GB2312" w:cs="仿宋_GB2312"/>
          <w:bCs/>
          <w:spacing w:val="-4"/>
          <w:sz w:val="32"/>
          <w:szCs w:val="32"/>
        </w:rPr>
        <w:t>项目用途及范围</w:t>
      </w:r>
    </w:p>
    <w:p>
      <w:pPr>
        <w:adjustRightInd w:val="0"/>
        <w:snapToGrid w:val="0"/>
        <w:spacing w:line="560" w:lineRule="exact"/>
        <w:ind w:firstLine="624" w:firstLineChars="200"/>
        <w:outlineLvl w:val="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确保各项工作落到实处，县级专项预算公用经费31.43万元，用于满足日常办公需求，为镇机关纪检谈话室购置必要的录音录影设备一套。</w:t>
      </w: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二、项目资金使用及管理情况</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（一）项目资金安排落实、总投入等情况分析</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根据新财行〔2015〕335号、喀地财社［2017］12号文件，喀格勒克镇人民政府县级公用经费项目预算安排总额为31.43万元，其中财政资金31.43万元，自筹资金0万元，2018年实际收到预算资金31.43万元。</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（二）项目资金实际使用情况分析</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喀格勒克镇人民政府县级专项公用经费项目实际支付资金31.43万元，预算执行率100%。项目资金主要用于支付镇机关站所办公费费用23.99万元，用于购置纪检谈话室录音录影设备费用7.44万元。</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（三）项目资金管理情况分析</w:t>
      </w:r>
    </w:p>
    <w:p>
      <w:pPr>
        <w:adjustRightInd w:val="0"/>
        <w:snapToGrid w:val="0"/>
        <w:spacing w:line="560" w:lineRule="exact"/>
        <w:ind w:firstLine="624" w:firstLineChars="200"/>
        <w:rPr>
          <w:rStyle w:val="18"/>
          <w:rFonts w:ascii="仿宋_GB2312" w:hAnsi="仿宋_GB2312" w:eastAsia="仿宋_GB2312" w:cs="仿宋_GB2312"/>
          <w:b w:val="0"/>
          <w:color w:val="000000"/>
          <w:spacing w:val="-4"/>
          <w:sz w:val="32"/>
          <w:szCs w:val="32"/>
        </w:rPr>
      </w:pPr>
      <w:r>
        <w:rPr>
          <w:rFonts w:hint="eastAsia" w:ascii="仿宋_GB2312" w:hAnsi="仿宋_GB2312" w:eastAsia="仿宋_GB2312" w:cs="仿宋_GB2312"/>
          <w:bCs/>
          <w:color w:val="000000"/>
          <w:spacing w:val="-4"/>
          <w:sz w:val="32"/>
          <w:szCs w:val="32"/>
        </w:rPr>
        <w:t>喀格勒克镇人民政府县级专项公用经费项目支出符合喀格勒克镇人民政府《行政单位财务管理制度及办法》，包括会计人员集中核算工作管理制度、财务收支审批制度、财务稽核制度、财务牵制制度、会计主管岗位职责等制度规定，资金的拨付有完整的审批程序和手续，不存在截留、挤占、挪用等情况。</w:t>
      </w: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三、项目组织实施情况</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（一）项目组织情况分析</w:t>
      </w:r>
    </w:p>
    <w:p>
      <w:pPr>
        <w:adjustRightInd w:val="0"/>
        <w:snapToGrid w:val="0"/>
        <w:spacing w:line="560" w:lineRule="exact"/>
        <w:ind w:firstLine="624" w:firstLineChars="200"/>
        <w:rPr>
          <w:rStyle w:val="18"/>
          <w:rFonts w:ascii="仿宋_GB2312" w:hAnsi="仿宋_GB2312" w:eastAsia="仿宋_GB2312" w:cs="仿宋_GB2312"/>
          <w:b w:val="0"/>
          <w:color w:val="000000"/>
          <w:spacing w:val="-4"/>
          <w:sz w:val="32"/>
          <w:szCs w:val="32"/>
        </w:rPr>
      </w:pPr>
      <w:r>
        <w:rPr>
          <w:rFonts w:hint="eastAsia" w:ascii="仿宋_GB2312" w:hAnsi="仿宋_GB2312" w:eastAsia="仿宋_GB2312" w:cs="仿宋_GB2312"/>
          <w:bCs/>
          <w:color w:val="000000"/>
          <w:spacing w:val="-4"/>
          <w:sz w:val="32"/>
          <w:szCs w:val="32"/>
        </w:rPr>
        <w:t>喀格勒克镇人民政府县级专项公用经费项目</w:t>
      </w:r>
      <w:r>
        <w:rPr>
          <w:rStyle w:val="18"/>
          <w:rFonts w:hint="eastAsia" w:ascii="仿宋_GB2312" w:hAnsi="仿宋_GB2312" w:eastAsia="仿宋_GB2312" w:cs="仿宋_GB2312"/>
          <w:b w:val="0"/>
          <w:color w:val="000000"/>
          <w:spacing w:val="-4"/>
          <w:sz w:val="32"/>
          <w:szCs w:val="32"/>
        </w:rPr>
        <w:t>属于新增性零星项目,按照镇机关日常办公需求情况进行支出,由本单位自行组织实施。实施过程均按照本单位制定的管理制度执行。</w:t>
      </w:r>
    </w:p>
    <w:p>
      <w:pPr>
        <w:adjustRightInd w:val="0"/>
        <w:snapToGrid w:val="0"/>
        <w:spacing w:line="560" w:lineRule="exact"/>
        <w:ind w:firstLine="624" w:firstLineChars="200"/>
        <w:rPr>
          <w:rStyle w:val="18"/>
          <w:rFonts w:ascii="仿宋_GB2312" w:hAnsi="仿宋_GB2312" w:eastAsia="仿宋_GB2312" w:cs="仿宋_GB2312"/>
          <w:b w:val="0"/>
          <w:color w:val="000000"/>
          <w:spacing w:val="-4"/>
          <w:sz w:val="32"/>
          <w:szCs w:val="32"/>
        </w:rPr>
      </w:pPr>
      <w:r>
        <w:rPr>
          <w:rStyle w:val="18"/>
          <w:rFonts w:hint="eastAsia" w:ascii="仿宋_GB2312" w:hAnsi="仿宋_GB2312" w:eastAsia="仿宋_GB2312" w:cs="仿宋_GB2312"/>
          <w:b w:val="0"/>
          <w:color w:val="000000"/>
          <w:spacing w:val="-4"/>
          <w:sz w:val="32"/>
          <w:szCs w:val="32"/>
        </w:rPr>
        <w:t>本项目不存在调整情况。</w:t>
      </w:r>
    </w:p>
    <w:p>
      <w:pPr>
        <w:adjustRightInd w:val="0"/>
        <w:snapToGrid w:val="0"/>
        <w:spacing w:line="560" w:lineRule="exact"/>
        <w:ind w:firstLine="624" w:firstLineChars="200"/>
        <w:rPr>
          <w:rStyle w:val="18"/>
          <w:rFonts w:ascii="仿宋_GB2312" w:hAnsi="仿宋_GB2312" w:eastAsia="仿宋_GB2312" w:cs="仿宋_GB2312"/>
          <w:b w:val="0"/>
          <w:color w:val="000000"/>
          <w:spacing w:val="-4"/>
          <w:sz w:val="32"/>
          <w:szCs w:val="32"/>
        </w:rPr>
      </w:pPr>
      <w:r>
        <w:rPr>
          <w:rStyle w:val="18"/>
          <w:rFonts w:hint="eastAsia" w:ascii="仿宋_GB2312" w:hAnsi="仿宋_GB2312" w:eastAsia="仿宋_GB2312" w:cs="仿宋_GB2312"/>
          <w:b w:val="0"/>
          <w:color w:val="000000"/>
          <w:spacing w:val="-4"/>
          <w:sz w:val="32"/>
          <w:szCs w:val="32"/>
        </w:rPr>
        <w:t>为保证项目质量和成本控制，该经费支出由乡按照“乡财县管”、“国库集中支付”的要求，按实际需求进行申报支出。</w:t>
      </w:r>
    </w:p>
    <w:p>
      <w:pPr>
        <w:spacing w:line="560" w:lineRule="exact"/>
        <w:ind w:firstLine="564" w:firstLineChars="181"/>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（二）项目管理情况分析</w:t>
      </w:r>
    </w:p>
    <w:p>
      <w:pPr>
        <w:adjustRightInd w:val="0"/>
        <w:snapToGrid w:val="0"/>
        <w:spacing w:line="560" w:lineRule="exact"/>
        <w:ind w:firstLine="624" w:firstLineChars="200"/>
        <w:rPr>
          <w:rStyle w:val="18"/>
          <w:rFonts w:ascii="仿宋_GB2312" w:hAnsi="仿宋_GB2312" w:eastAsia="仿宋_GB2312" w:cs="仿宋_GB2312"/>
          <w:b w:val="0"/>
          <w:color w:val="000000"/>
          <w:spacing w:val="-4"/>
          <w:sz w:val="32"/>
          <w:szCs w:val="32"/>
        </w:rPr>
      </w:pPr>
      <w:r>
        <w:rPr>
          <w:rFonts w:hint="eastAsia" w:ascii="仿宋_GB2312" w:hAnsi="仿宋_GB2312" w:eastAsia="仿宋_GB2312" w:cs="仿宋_GB2312"/>
          <w:bCs/>
          <w:color w:val="000000"/>
          <w:spacing w:val="-4"/>
          <w:sz w:val="32"/>
          <w:szCs w:val="32"/>
        </w:rPr>
        <w:t>喀格勒克镇人民政府县级专项公用经费项目实施过程中，乡根据</w:t>
      </w:r>
      <w:r>
        <w:rPr>
          <w:rStyle w:val="18"/>
          <w:rFonts w:hint="eastAsia" w:ascii="仿宋_GB2312" w:hAnsi="仿宋_GB2312" w:eastAsia="仿宋_GB2312" w:cs="仿宋_GB2312"/>
          <w:b w:val="0"/>
          <w:color w:val="000000"/>
          <w:spacing w:val="-4"/>
          <w:sz w:val="32"/>
          <w:szCs w:val="32"/>
        </w:rPr>
        <w:t>“乡财县管”、“国库集中支付”的</w:t>
      </w:r>
      <w:r>
        <w:rPr>
          <w:rFonts w:hint="eastAsia" w:ascii="仿宋_GB2312" w:hAnsi="仿宋_GB2312" w:eastAsia="仿宋_GB2312" w:cs="仿宋_GB2312"/>
          <w:bCs/>
          <w:color w:val="000000"/>
          <w:spacing w:val="-4"/>
          <w:sz w:val="32"/>
          <w:szCs w:val="32"/>
        </w:rPr>
        <w:t>相关要求实施。由镇财务分管领导“一支笔”审签后按财务报帐制度进行支出，确保财政资金发挥最大效益。</w:t>
      </w:r>
      <w:r>
        <w:rPr>
          <w:rFonts w:hint="eastAsia" w:ascii="仿宋_GB2312" w:hAnsi="仿宋_GB2312" w:eastAsia="仿宋_GB2312" w:cs="仿宋_GB2312"/>
          <w:bCs/>
          <w:color w:val="000000" w:themeColor="text1"/>
          <w:spacing w:val="-4"/>
          <w:sz w:val="32"/>
          <w:szCs w:val="32"/>
        </w:rPr>
        <w:t>喀格勒克镇</w:t>
      </w:r>
      <w:r>
        <w:rPr>
          <w:rFonts w:hint="eastAsia" w:ascii="仿宋_GB2312" w:hAnsi="仿宋_GB2312" w:eastAsia="仿宋_GB2312" w:cs="仿宋_GB2312"/>
          <w:bCs/>
          <w:color w:val="000000"/>
          <w:sz w:val="32"/>
          <w:szCs w:val="32"/>
        </w:rPr>
        <w:t>人民政府县级公用经费</w:t>
      </w:r>
      <w:r>
        <w:rPr>
          <w:rFonts w:hint="eastAsia" w:ascii="仿宋_GB2312" w:hAnsi="仿宋_GB2312" w:eastAsia="仿宋_GB2312" w:cs="仿宋_GB2312"/>
          <w:bCs/>
          <w:color w:val="000000"/>
          <w:spacing w:val="-4"/>
          <w:sz w:val="32"/>
          <w:szCs w:val="32"/>
        </w:rPr>
        <w:t>项目资金符合《县级公用经费项目制度》，包括会计人员集中核算工作管理制度、财务收支审批制度、财务稽核制度、财务牵制制度、会计主管岗位职责等制度规定，本项目的拨付有完整的审批程序和手续，不存在截留、挤占、挪用等情况。</w:t>
      </w:r>
    </w:p>
    <w:p>
      <w:pPr>
        <w:spacing w:line="560" w:lineRule="exact"/>
        <w:ind w:firstLine="640"/>
        <w:rPr>
          <w:rStyle w:val="18"/>
          <w:rFonts w:ascii="黑体" w:hAnsi="黑体" w:eastAsia="黑体" w:cs="黑体"/>
          <w:b w:val="0"/>
          <w:sz w:val="32"/>
          <w:szCs w:val="32"/>
        </w:rPr>
      </w:pPr>
      <w:r>
        <w:rPr>
          <w:rStyle w:val="18"/>
          <w:rFonts w:hint="eastAsia" w:ascii="黑体" w:hAnsi="黑体" w:eastAsia="黑体" w:cs="黑体"/>
          <w:b w:val="0"/>
          <w:spacing w:val="-4"/>
          <w:sz w:val="32"/>
          <w:szCs w:val="32"/>
        </w:rPr>
        <w:t>四、项目绩效情况</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（一）项目绩效目标完成情况分析</w:t>
      </w:r>
    </w:p>
    <w:p>
      <w:pPr>
        <w:widowControl/>
        <w:spacing w:line="560" w:lineRule="exact"/>
        <w:ind w:firstLine="624" w:firstLineChars="200"/>
        <w:jc w:val="left"/>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本项目共设置一级指标3个，二级指标7个，三级指标11个，其中已完成三级指标11个，指标完成率为100%。根据年初设定的绩效目标，此项目自评得分为91分。</w:t>
      </w:r>
    </w:p>
    <w:p>
      <w:pPr>
        <w:spacing w:line="560" w:lineRule="exact"/>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1.产出指标完成情况分析</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（1）项目完成数量</w:t>
      </w:r>
    </w:p>
    <w:p>
      <w:pPr>
        <w:adjustRightInd w:val="0"/>
        <w:snapToGrid w:val="0"/>
        <w:spacing w:line="560" w:lineRule="exact"/>
        <w:ind w:firstLine="624" w:firstLineChars="200"/>
        <w:outlineLvl w:val="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更好发挥乡机关效能，确保各项工作落到实处，保障办公191人，纪检谈话室购置设备1套，用于满足日常办公需求。</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（2）项目完成质量</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该项目严格按照相关要求进行实施，设备质量合格率100%未出现明显问题。</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（3）项目实施进度</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喀格勒克镇人民政府县级专项公用经费项目实际支付资金31.43万元，专项公用经费使用及时率100%，纪检谈话室使用及时率100%。</w:t>
      </w:r>
    </w:p>
    <w:p>
      <w:pPr>
        <w:spacing w:line="560" w:lineRule="exact"/>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 xml:space="preserve">    （4）项目成本节约情况</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Style w:val="18"/>
          <w:rFonts w:hint="eastAsia" w:ascii="仿宋_GB2312" w:hAnsi="仿宋_GB2312" w:eastAsia="仿宋_GB2312" w:cs="仿宋_GB2312"/>
          <w:b w:val="0"/>
          <w:color w:val="000000"/>
          <w:spacing w:val="-4"/>
          <w:sz w:val="32"/>
          <w:szCs w:val="32"/>
        </w:rPr>
        <w:t>该项目的实施商品服务支出数1256.02元/人，录音及录像设备7.44万元/套。</w:t>
      </w:r>
    </w:p>
    <w:p>
      <w:pPr>
        <w:spacing w:line="560" w:lineRule="exact"/>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2.效益指标完成情况分析</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（1）项目实施的经济效益分析</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无</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（2）项目实施的社会效益分析</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项目的实施，能增加工作人员的办事效率，提高为民服务办事效率达80%，提升居民的满意度，从而进一步提高居民基础，增强居民的幸福感、认同感、归属感。提升居民认同感达到预期效果。</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（3）项目实施的生态效益分析</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无</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（4）项目实施的可持续影响分析</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　持续为居民提供政府性公共服务年限1年，设备持续使用年限5年。</w:t>
      </w:r>
    </w:p>
    <w:p>
      <w:pPr>
        <w:numPr>
          <w:ilvl w:val="0"/>
          <w:numId w:val="1"/>
        </w:numPr>
        <w:spacing w:line="560" w:lineRule="exact"/>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满意度指标完成情况分析</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按计划完成项目实施，已做满意度调查问卷，居民满意率97%，服务对象满意度指标完成。</w:t>
      </w:r>
    </w:p>
    <w:p>
      <w:pPr>
        <w:adjustRightInd w:val="0"/>
        <w:snapToGrid w:val="0"/>
        <w:spacing w:line="560" w:lineRule="exact"/>
        <w:ind w:firstLine="624" w:firstLineChars="200"/>
        <w:rPr>
          <w:rStyle w:val="18"/>
          <w:rFonts w:ascii="仿宋_GB2312" w:hAnsi="仿宋_GB2312" w:eastAsia="仿宋_GB2312" w:cs="仿宋_GB2312"/>
          <w:b w:val="0"/>
          <w:color w:val="000000"/>
          <w:spacing w:val="-4"/>
          <w:sz w:val="32"/>
          <w:szCs w:val="32"/>
        </w:rPr>
      </w:pPr>
      <w:r>
        <w:rPr>
          <w:rStyle w:val="18"/>
          <w:rFonts w:hint="eastAsia" w:ascii="仿宋_GB2312" w:hAnsi="仿宋_GB2312" w:eastAsia="仿宋_GB2312" w:cs="仿宋_GB2312"/>
          <w:b w:val="0"/>
          <w:color w:val="000000"/>
          <w:spacing w:val="-4"/>
          <w:sz w:val="32"/>
          <w:szCs w:val="32"/>
        </w:rPr>
        <w:t>经济性：按照勤俭办公的要求，压缩节约支出，做到不浪费一滴水、一度电、一张纸的要求，提高了节能的意识，确保了低投入、高效率。</w:t>
      </w:r>
    </w:p>
    <w:p>
      <w:pPr>
        <w:adjustRightInd w:val="0"/>
        <w:snapToGrid w:val="0"/>
        <w:spacing w:line="560" w:lineRule="exact"/>
        <w:ind w:firstLine="624" w:firstLineChars="200"/>
        <w:rPr>
          <w:rStyle w:val="18"/>
          <w:rFonts w:ascii="仿宋_GB2312" w:hAnsi="仿宋_GB2312" w:eastAsia="仿宋_GB2312" w:cs="仿宋_GB2312"/>
          <w:b w:val="0"/>
          <w:color w:val="000000"/>
          <w:spacing w:val="-4"/>
          <w:sz w:val="32"/>
          <w:szCs w:val="32"/>
        </w:rPr>
      </w:pPr>
      <w:r>
        <w:rPr>
          <w:rStyle w:val="18"/>
          <w:rFonts w:hint="eastAsia" w:ascii="仿宋_GB2312" w:hAnsi="仿宋_GB2312" w:eastAsia="仿宋_GB2312" w:cs="仿宋_GB2312"/>
          <w:b w:val="0"/>
          <w:color w:val="000000"/>
          <w:spacing w:val="-4"/>
          <w:sz w:val="32"/>
          <w:szCs w:val="32"/>
        </w:rPr>
        <w:t>效率性：镇党委严格按照公用经费支出制度及要求，该项目100%的完成，确保了镇机关、站所正常日常办公需求和纪检谈话室的正常运行。</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Style w:val="18"/>
          <w:rFonts w:hint="eastAsia" w:ascii="仿宋_GB2312" w:hAnsi="仿宋_GB2312" w:eastAsia="仿宋_GB2312" w:cs="仿宋_GB2312"/>
          <w:b w:val="0"/>
          <w:color w:val="000000"/>
          <w:spacing w:val="-4"/>
          <w:sz w:val="32"/>
          <w:szCs w:val="32"/>
        </w:rPr>
        <w:t>效益性：通过该项目实话，提高了镇机关办公效能。</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（二）项目绩效目标未完成原因分析</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无</w:t>
      </w: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五、其他需要说明的问题</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（一）后续工作计划</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通过2018年开展落实县级专项公用经费项目以来，取得了良好的社会效益，为镇机关、站所办公场地带来了便利，我们将在下一步的工作中更好总结经验，加强公用经费的使用效率，为创造新型服务型机关创造良好的条件。</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（二）主要经验及做法、存在问题和建议</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1、主要经验及做法</w:t>
      </w:r>
    </w:p>
    <w:p>
      <w:pPr>
        <w:adjustRightInd w:val="0"/>
        <w:snapToGrid w:val="0"/>
        <w:spacing w:line="560" w:lineRule="exact"/>
        <w:ind w:firstLine="624" w:firstLineChars="200"/>
        <w:rPr>
          <w:rStyle w:val="18"/>
          <w:rFonts w:ascii="仿宋_GB2312" w:hAnsi="仿宋_GB2312" w:eastAsia="仿宋_GB2312" w:cs="仿宋_GB2312"/>
          <w:b w:val="0"/>
          <w:color w:val="000000"/>
          <w:spacing w:val="-4"/>
          <w:sz w:val="32"/>
          <w:szCs w:val="32"/>
        </w:rPr>
      </w:pPr>
      <w:r>
        <w:rPr>
          <w:rFonts w:hint="eastAsia" w:ascii="仿宋_GB2312" w:hAnsi="仿宋_GB2312" w:eastAsia="仿宋_GB2312" w:cs="仿宋_GB2312"/>
          <w:bCs/>
          <w:color w:val="000000"/>
          <w:spacing w:val="-4"/>
          <w:sz w:val="32"/>
          <w:szCs w:val="32"/>
        </w:rPr>
        <w:t>喀格勒克镇人民政府县级专项公用经费项目实施过程中，</w:t>
      </w:r>
      <w:r>
        <w:rPr>
          <w:rStyle w:val="18"/>
          <w:rFonts w:hint="eastAsia" w:ascii="仿宋_GB2312" w:hAnsi="仿宋_GB2312" w:eastAsia="仿宋_GB2312" w:cs="仿宋_GB2312"/>
          <w:b w:val="0"/>
          <w:color w:val="000000"/>
          <w:spacing w:val="-4"/>
          <w:sz w:val="32"/>
          <w:szCs w:val="32"/>
        </w:rPr>
        <w:t>按照勤俭办公的要求，压缩节约支出，做到不浪费一滴水、一度电、一张纸的要求，提高了节能的意识，确保了低投入、高效率。</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通过2018年县级专项公用经费项目投入，为镇机关、站所更好地提供为民服务打下了坚实的基础，我们将在下一步的工作中总结经验，为今后做好机关服务工作提供经验和做法。</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2、存在的问题</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今年在开展此项工作中，还存在勤俭节约的意识不强，有浪费水、电等现象。</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3、建议</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在下一步开展工作中，加强全镇机关、站所工作人员节俭教育，做到人走灯灭，用完水后及时关闭水笼头，</w:t>
      </w:r>
      <w:r>
        <w:rPr>
          <w:rStyle w:val="18"/>
          <w:rFonts w:hint="eastAsia" w:ascii="仿宋_GB2312" w:hAnsi="仿宋_GB2312" w:eastAsia="仿宋_GB2312" w:cs="仿宋_GB2312"/>
          <w:b w:val="0"/>
          <w:color w:val="000000"/>
          <w:spacing w:val="-4"/>
          <w:sz w:val="32"/>
          <w:szCs w:val="32"/>
        </w:rPr>
        <w:t>做到不浪费一滴水、一度电、一张纸，</w:t>
      </w:r>
      <w:r>
        <w:rPr>
          <w:rFonts w:hint="eastAsia" w:ascii="仿宋_GB2312" w:hAnsi="仿宋_GB2312" w:eastAsia="仿宋_GB2312" w:cs="仿宋_GB2312"/>
          <w:bCs/>
          <w:color w:val="000000"/>
          <w:spacing w:val="-4"/>
          <w:sz w:val="32"/>
          <w:szCs w:val="32"/>
        </w:rPr>
        <w:t>加强勤俭办公的作风养成，确保财政资金效益最大化。</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（三）其他</w:t>
      </w:r>
    </w:p>
    <w:p>
      <w:pPr>
        <w:spacing w:line="560" w:lineRule="exact"/>
        <w:ind w:firstLine="564" w:firstLineChars="181"/>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无</w:t>
      </w: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六、项目评价工作情况</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喀格勒克镇人民政府县级专项公用经费项目评价通过台帐查阅、实地调研、数据分析等方式，全面了解该项目资金的使用效率和效果，项目管理过程是否规范，是否完成了预期绩效目标等。同时，通过开展自我评价来总结经验和教训，为喀什</w:t>
      </w:r>
      <w:r>
        <w:rPr>
          <w:rFonts w:hint="eastAsia" w:ascii="仿宋_GB2312" w:hAnsi="仿宋_GB2312" w:eastAsia="仿宋_GB2312" w:cs="仿宋_GB2312"/>
          <w:bCs/>
          <w:color w:val="000000"/>
          <w:spacing w:val="-4"/>
          <w:sz w:val="32"/>
          <w:szCs w:val="32"/>
          <w:lang w:eastAsia="zh-CN"/>
        </w:rPr>
        <w:t>地</w:t>
      </w:r>
      <w:r>
        <w:rPr>
          <w:rFonts w:hint="eastAsia" w:ascii="仿宋_GB2312" w:hAnsi="仿宋_GB2312" w:eastAsia="仿宋_GB2312" w:cs="仿宋_GB2312"/>
          <w:bCs/>
          <w:color w:val="000000"/>
          <w:spacing w:val="-4"/>
          <w:sz w:val="32"/>
          <w:szCs w:val="32"/>
        </w:rPr>
        <w:t>区叶城县喀格勒克镇人民政府县级专项公用经费项目今后的开展提供参考建议。</w:t>
      </w:r>
    </w:p>
    <w:p>
      <w:pPr>
        <w:spacing w:line="560" w:lineRule="exact"/>
        <w:ind w:firstLine="64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七、附表</w:t>
      </w:r>
    </w:p>
    <w:p>
      <w:pPr>
        <w:spacing w:line="560" w:lineRule="exact"/>
        <w:ind w:firstLine="567"/>
        <w:rPr>
          <w:rStyle w:val="18"/>
          <w:rFonts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w:t>
      </w:r>
      <w:r>
        <w:rPr>
          <w:rFonts w:hint="eastAsia" w:ascii="仿宋_GB2312" w:hAnsi="仿宋_GB2312" w:eastAsia="仿宋_GB2312" w:cs="仿宋_GB2312"/>
          <w:bCs/>
          <w:color w:val="000000"/>
          <w:spacing w:val="-4"/>
          <w:sz w:val="32"/>
          <w:szCs w:val="32"/>
        </w:rPr>
        <w:t>项目支出绩效目标自评表</w:t>
      </w:r>
      <w:r>
        <w:rPr>
          <w:rStyle w:val="18"/>
          <w:rFonts w:hint="eastAsia" w:ascii="仿宋_GB2312" w:hAnsi="仿宋_GB2312" w:eastAsia="仿宋_GB2312" w:cs="仿宋_GB2312"/>
          <w:b w:val="0"/>
          <w:spacing w:val="-4"/>
          <w:sz w:val="32"/>
          <w:szCs w:val="32"/>
        </w:rPr>
        <w:t>》</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6</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4D9543"/>
    <w:multiLevelType w:val="singleLevel"/>
    <w:tmpl w:val="E14D9543"/>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kzNzgyM2E2Yjg1NDJlZmFjYTEwNGIyZWYwNjY4MWIifQ=="/>
  </w:docVars>
  <w:rsids>
    <w:rsidRoot w:val="00CA6457"/>
    <w:rsid w:val="00036F9F"/>
    <w:rsid w:val="00042FBB"/>
    <w:rsid w:val="00056465"/>
    <w:rsid w:val="00057C03"/>
    <w:rsid w:val="0007015D"/>
    <w:rsid w:val="00070F38"/>
    <w:rsid w:val="00095223"/>
    <w:rsid w:val="000B790F"/>
    <w:rsid w:val="000C3A99"/>
    <w:rsid w:val="000C7E37"/>
    <w:rsid w:val="000D1B6D"/>
    <w:rsid w:val="00114B36"/>
    <w:rsid w:val="00121AE4"/>
    <w:rsid w:val="001236EC"/>
    <w:rsid w:val="00146AAD"/>
    <w:rsid w:val="00164A5E"/>
    <w:rsid w:val="0018005F"/>
    <w:rsid w:val="001A37BC"/>
    <w:rsid w:val="001A5193"/>
    <w:rsid w:val="001B2627"/>
    <w:rsid w:val="001B3A40"/>
    <w:rsid w:val="001C123D"/>
    <w:rsid w:val="001F6AE1"/>
    <w:rsid w:val="002076EB"/>
    <w:rsid w:val="0021692E"/>
    <w:rsid w:val="00244932"/>
    <w:rsid w:val="00285BD6"/>
    <w:rsid w:val="00292311"/>
    <w:rsid w:val="002B1DA2"/>
    <w:rsid w:val="002B5AC4"/>
    <w:rsid w:val="002D2C1F"/>
    <w:rsid w:val="002D58D8"/>
    <w:rsid w:val="003617E1"/>
    <w:rsid w:val="003875DA"/>
    <w:rsid w:val="004170FC"/>
    <w:rsid w:val="004366A8"/>
    <w:rsid w:val="0044003C"/>
    <w:rsid w:val="0047499A"/>
    <w:rsid w:val="00492544"/>
    <w:rsid w:val="00502BA7"/>
    <w:rsid w:val="005162F1"/>
    <w:rsid w:val="00535153"/>
    <w:rsid w:val="00542915"/>
    <w:rsid w:val="00554F82"/>
    <w:rsid w:val="0056390D"/>
    <w:rsid w:val="005719B0"/>
    <w:rsid w:val="005849A0"/>
    <w:rsid w:val="00587EC9"/>
    <w:rsid w:val="005B06D6"/>
    <w:rsid w:val="005C1BC4"/>
    <w:rsid w:val="005C58FB"/>
    <w:rsid w:val="005D10D6"/>
    <w:rsid w:val="006330D9"/>
    <w:rsid w:val="00645EBB"/>
    <w:rsid w:val="0064625D"/>
    <w:rsid w:val="00654FAD"/>
    <w:rsid w:val="0066593F"/>
    <w:rsid w:val="006E4C35"/>
    <w:rsid w:val="00725F95"/>
    <w:rsid w:val="007260AF"/>
    <w:rsid w:val="00726B7A"/>
    <w:rsid w:val="007409F4"/>
    <w:rsid w:val="007542E5"/>
    <w:rsid w:val="007569F0"/>
    <w:rsid w:val="0076004A"/>
    <w:rsid w:val="007A4018"/>
    <w:rsid w:val="007A6425"/>
    <w:rsid w:val="007B1881"/>
    <w:rsid w:val="0082645A"/>
    <w:rsid w:val="00835583"/>
    <w:rsid w:val="008512F4"/>
    <w:rsid w:val="00855E3A"/>
    <w:rsid w:val="00861B8D"/>
    <w:rsid w:val="00882F6F"/>
    <w:rsid w:val="00885833"/>
    <w:rsid w:val="008A6EF7"/>
    <w:rsid w:val="008B50E9"/>
    <w:rsid w:val="008C449D"/>
    <w:rsid w:val="008D6D86"/>
    <w:rsid w:val="008E5C6D"/>
    <w:rsid w:val="009209A1"/>
    <w:rsid w:val="00922CB9"/>
    <w:rsid w:val="00937AD2"/>
    <w:rsid w:val="00940A8C"/>
    <w:rsid w:val="00984984"/>
    <w:rsid w:val="0099472D"/>
    <w:rsid w:val="009B6FD0"/>
    <w:rsid w:val="009C1C47"/>
    <w:rsid w:val="009E2C86"/>
    <w:rsid w:val="009E5CD9"/>
    <w:rsid w:val="009F3352"/>
    <w:rsid w:val="00A108B1"/>
    <w:rsid w:val="00A26421"/>
    <w:rsid w:val="00A4293B"/>
    <w:rsid w:val="00A54CA4"/>
    <w:rsid w:val="00A67D50"/>
    <w:rsid w:val="00A72B4F"/>
    <w:rsid w:val="00A8262D"/>
    <w:rsid w:val="00A8691A"/>
    <w:rsid w:val="00AB06BF"/>
    <w:rsid w:val="00AC1946"/>
    <w:rsid w:val="00B048DC"/>
    <w:rsid w:val="00B2148B"/>
    <w:rsid w:val="00B354F8"/>
    <w:rsid w:val="00B37A8F"/>
    <w:rsid w:val="00B40063"/>
    <w:rsid w:val="00B41F61"/>
    <w:rsid w:val="00B61C3F"/>
    <w:rsid w:val="00B92CAB"/>
    <w:rsid w:val="00BA46E6"/>
    <w:rsid w:val="00BE404B"/>
    <w:rsid w:val="00C14A8A"/>
    <w:rsid w:val="00C33608"/>
    <w:rsid w:val="00C34B3D"/>
    <w:rsid w:val="00C56C72"/>
    <w:rsid w:val="00CA6457"/>
    <w:rsid w:val="00CE538F"/>
    <w:rsid w:val="00CE706E"/>
    <w:rsid w:val="00D052F4"/>
    <w:rsid w:val="00D17F2E"/>
    <w:rsid w:val="00D22951"/>
    <w:rsid w:val="00D30354"/>
    <w:rsid w:val="00D52226"/>
    <w:rsid w:val="00D7067F"/>
    <w:rsid w:val="00D82C16"/>
    <w:rsid w:val="00DD7739"/>
    <w:rsid w:val="00DF42A0"/>
    <w:rsid w:val="00E4225D"/>
    <w:rsid w:val="00E46613"/>
    <w:rsid w:val="00E56DCD"/>
    <w:rsid w:val="00E769FE"/>
    <w:rsid w:val="00E86006"/>
    <w:rsid w:val="00E9463C"/>
    <w:rsid w:val="00EA2CBE"/>
    <w:rsid w:val="00EC08BA"/>
    <w:rsid w:val="00EC091E"/>
    <w:rsid w:val="00F2082A"/>
    <w:rsid w:val="00F239AF"/>
    <w:rsid w:val="00F32FEE"/>
    <w:rsid w:val="00F53C48"/>
    <w:rsid w:val="00FA65A4"/>
    <w:rsid w:val="00FB10BB"/>
    <w:rsid w:val="00FB2F74"/>
    <w:rsid w:val="00FE3C22"/>
    <w:rsid w:val="02D56742"/>
    <w:rsid w:val="0D26428E"/>
    <w:rsid w:val="0ED060FB"/>
    <w:rsid w:val="126F5F47"/>
    <w:rsid w:val="128462E1"/>
    <w:rsid w:val="12E01A9C"/>
    <w:rsid w:val="1618445B"/>
    <w:rsid w:val="1A821E1C"/>
    <w:rsid w:val="24903340"/>
    <w:rsid w:val="2A667B8C"/>
    <w:rsid w:val="2D9940E9"/>
    <w:rsid w:val="32936452"/>
    <w:rsid w:val="3AF70EF1"/>
    <w:rsid w:val="3E685BD5"/>
    <w:rsid w:val="3ECF7229"/>
    <w:rsid w:val="48FF6705"/>
    <w:rsid w:val="4998265B"/>
    <w:rsid w:val="4FEE1AD4"/>
    <w:rsid w:val="53EB26E5"/>
    <w:rsid w:val="57AD506E"/>
    <w:rsid w:val="59F467F3"/>
    <w:rsid w:val="5DC862C0"/>
    <w:rsid w:val="5E111562"/>
    <w:rsid w:val="5FDA3A60"/>
    <w:rsid w:val="623B0336"/>
    <w:rsid w:val="6E1E30C5"/>
    <w:rsid w:val="6F5C0A22"/>
    <w:rsid w:val="78853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7</Pages>
  <Words>439</Words>
  <Characters>2507</Characters>
  <Lines>20</Lines>
  <Paragraphs>5</Paragraphs>
  <TotalTime>2</TotalTime>
  <ScaleCrop>false</ScaleCrop>
  <LinksUpToDate>false</LinksUpToDate>
  <CharactersWithSpaces>2941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2019-01-23T01:29:00Z</dcterms:created>
  <dc:creator>赵 恺（预算处）</dc:creator>
  <cp:lastModifiedBy>易安</cp:lastModifiedBy>
  <cp:lastPrinted>2018-12-31T10:56:00Z</cp:lastPrinted>
  <dcterms:modified xsi:type="dcterms:W3CDTF">2023-11-24T11:16:41Z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4915BD9C0C854F7BA61A0CDFC1694B37_12</vt:lpwstr>
  </property>
</Properties>
</file>