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44"/>
          <w:szCs w:val="44"/>
        </w:rPr>
      </w:pPr>
    </w:p>
    <w:p>
      <w:pPr>
        <w:spacing w:line="540" w:lineRule="exact"/>
        <w:jc w:val="center"/>
        <w:rPr>
          <w:rFonts w:ascii="黑体" w:hAnsi="黑体" w:eastAsia="黑体" w:cs="黑体"/>
          <w:b/>
          <w:color w:val="000000"/>
          <w:sz w:val="44"/>
          <w:szCs w:val="44"/>
        </w:rPr>
      </w:pPr>
      <w:r>
        <w:rPr>
          <w:rFonts w:hint="eastAsia" w:ascii="黑体" w:hAnsi="黑体" w:eastAsia="黑体" w:cs="黑体"/>
          <w:b/>
          <w:color w:val="000000"/>
          <w:sz w:val="44"/>
          <w:szCs w:val="44"/>
        </w:rPr>
        <w:t>自治区财政项目支出绩效自评报告</w:t>
      </w:r>
    </w:p>
    <w:p>
      <w:pPr>
        <w:spacing w:line="540" w:lineRule="exact"/>
        <w:jc w:val="center"/>
        <w:rPr>
          <w:rFonts w:ascii="黑体" w:hAnsi="黑体" w:eastAsia="黑体" w:cs="黑体"/>
          <w:b/>
          <w:kern w:val="0"/>
          <w:sz w:val="44"/>
          <w:szCs w:val="44"/>
        </w:rPr>
      </w:pPr>
    </w:p>
    <w:p>
      <w:pPr>
        <w:spacing w:line="540" w:lineRule="exact"/>
        <w:jc w:val="center"/>
        <w:rPr>
          <w:rFonts w:ascii="黑体" w:hAnsi="黑体" w:eastAsia="黑体" w:cs="黑体"/>
          <w:kern w:val="0"/>
          <w:sz w:val="44"/>
          <w:szCs w:val="44"/>
        </w:rPr>
      </w:pPr>
      <w:r>
        <w:rPr>
          <w:rFonts w:hint="eastAsia" w:ascii="黑体" w:hAnsi="黑体" w:eastAsia="黑体" w:cs="黑体"/>
          <w:kern w:val="0"/>
          <w:sz w:val="44"/>
          <w:szCs w:val="44"/>
        </w:rPr>
        <w:t>（2018 年度）</w:t>
      </w:r>
    </w:p>
    <w:p>
      <w:pPr>
        <w:spacing w:line="540" w:lineRule="exact"/>
        <w:jc w:val="center"/>
        <w:rPr>
          <w:rFonts w:ascii="黑体" w:hAnsi="黑体" w:eastAsia="黑体" w:cs="黑体"/>
          <w:kern w:val="0"/>
          <w:sz w:val="44"/>
          <w:szCs w:val="44"/>
        </w:rPr>
      </w:pPr>
    </w:p>
    <w:p>
      <w:pPr>
        <w:spacing w:line="540" w:lineRule="exact"/>
        <w:jc w:val="center"/>
        <w:rPr>
          <w:rFonts w:ascii="黑体" w:hAnsi="黑体" w:eastAsia="黑体" w:cs="黑体"/>
          <w:kern w:val="0"/>
          <w:sz w:val="44"/>
          <w:szCs w:val="44"/>
        </w:rPr>
      </w:pPr>
    </w:p>
    <w:p>
      <w:pPr>
        <w:spacing w:line="540" w:lineRule="exact"/>
        <w:jc w:val="center"/>
        <w:rPr>
          <w:rFonts w:ascii="黑体" w:hAnsi="黑体" w:eastAsia="黑体" w:cs="黑体"/>
          <w:kern w:val="0"/>
          <w:sz w:val="44"/>
          <w:szCs w:val="44"/>
        </w:rPr>
      </w:pPr>
    </w:p>
    <w:p>
      <w:pPr>
        <w:spacing w:line="540" w:lineRule="exact"/>
        <w:jc w:val="center"/>
        <w:rPr>
          <w:rFonts w:ascii="黑体" w:hAnsi="黑体" w:eastAsia="黑体" w:cs="黑体"/>
          <w:kern w:val="0"/>
          <w:sz w:val="44"/>
          <w:szCs w:val="44"/>
        </w:rPr>
      </w:pPr>
    </w:p>
    <w:p>
      <w:pPr>
        <w:spacing w:line="540" w:lineRule="exact"/>
        <w:jc w:val="center"/>
        <w:rPr>
          <w:rFonts w:ascii="黑体" w:hAnsi="黑体" w:eastAsia="黑体" w:cs="黑体"/>
          <w:kern w:val="0"/>
          <w:sz w:val="44"/>
          <w:szCs w:val="44"/>
        </w:rPr>
      </w:pPr>
    </w:p>
    <w:p>
      <w:pPr>
        <w:spacing w:line="540" w:lineRule="exact"/>
        <w:jc w:val="center"/>
        <w:rPr>
          <w:rFonts w:ascii="黑体" w:hAnsi="黑体" w:eastAsia="黑体" w:cs="黑体"/>
          <w:kern w:val="0"/>
          <w:sz w:val="44"/>
          <w:szCs w:val="44"/>
        </w:rPr>
      </w:pPr>
    </w:p>
    <w:p>
      <w:pPr>
        <w:spacing w:line="540" w:lineRule="exact"/>
        <w:rPr>
          <w:rFonts w:ascii="黑体" w:hAnsi="黑体" w:eastAsia="黑体" w:cs="黑体"/>
          <w:kern w:val="0"/>
          <w:sz w:val="44"/>
          <w:szCs w:val="44"/>
        </w:rPr>
      </w:pPr>
    </w:p>
    <w:p>
      <w:pPr>
        <w:spacing w:line="700" w:lineRule="exact"/>
        <w:ind w:firstLine="800" w:firstLineChars="250"/>
        <w:jc w:val="left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项目名称：村级运转经费项目</w:t>
      </w:r>
    </w:p>
    <w:p>
      <w:pPr>
        <w:spacing w:line="700" w:lineRule="exact"/>
        <w:jc w:val="left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 xml:space="preserve">     实施单位（公章）：叶城县喀格勒克镇人民政府</w:t>
      </w:r>
    </w:p>
    <w:p>
      <w:pPr>
        <w:spacing w:line="700" w:lineRule="exact"/>
        <w:ind w:firstLine="755" w:firstLineChars="236"/>
        <w:jc w:val="left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主管部门（公章）：叶城县喀格勒克镇人民政府</w:t>
      </w:r>
    </w:p>
    <w:p>
      <w:pPr>
        <w:spacing w:line="700" w:lineRule="exact"/>
        <w:ind w:firstLine="755" w:firstLineChars="236"/>
        <w:jc w:val="left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项目负责人（签章）：肖敏</w:t>
      </w:r>
    </w:p>
    <w:p>
      <w:pPr>
        <w:spacing w:line="700" w:lineRule="exact"/>
        <w:ind w:firstLine="755" w:firstLineChars="236"/>
        <w:jc w:val="left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填报时间：2018 年 12 月 25日</w:t>
      </w: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60" w:lineRule="exact"/>
        <w:ind w:firstLine="64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一、项目概况</w:t>
      </w:r>
    </w:p>
    <w:p>
      <w:pPr>
        <w:spacing w:line="560" w:lineRule="exact"/>
        <w:ind w:firstLine="567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（一）项目单位基本情况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叶城县喀格勒克镇属机关行政部门，乡科级行政单位，辖10个社区；全镇有43915多居民，10899户，全镇维吾尔族占97%。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其中行政编制78人，行政（工勤）2人，参照公务员法管理人员编制7人，全额事业人员编制100人，自收自支编0人。</w:t>
      </w:r>
    </w:p>
    <w:p>
      <w:pPr>
        <w:widowControl/>
        <w:shd w:val="clear" w:color="auto" w:fill="FFFFFF"/>
        <w:spacing w:line="560" w:lineRule="exact"/>
        <w:ind w:firstLine="707" w:firstLineChars="221"/>
        <w:jc w:val="left"/>
        <w:rPr>
          <w:rFonts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主要职能：负责全镇党政行政管理事务。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负责全镇经济社会发展、社会事务管理、基层组织建设等全面工作。以全面建设社会主义新农村为根本出发点，不断铸牢全镇经济社会发展基础，为全镇居民提供社会服务。</w:t>
      </w:r>
    </w:p>
    <w:p>
      <w:pPr>
        <w:spacing w:line="560" w:lineRule="exact"/>
        <w:ind w:firstLine="564" w:firstLineChars="181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（二）项目预算绩效目标设定情况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1、项目预期目标及阶段性目标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　村运转经费按时、足额拨付，确保村级组织正常运转，办事有经费、服务居民有保障，满足日常工作需求。按季度拨给社喀格勒克镇和南城区村级运转经费，投入资金312.58万元。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根据新财行〔2015〕335号、喀地财社［2017］12号文件，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本项目性质为延续项目。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3、项目用途及范围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村级运转经费主要用于社区办公、服务居民等方面的开支，涉及喀格勒克镇20个社区。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喀格勒克镇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人民政府村级运转经费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专项资金补贴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，包括会计人员集中核算工作管理制度、财务收支审批制度、财务稽核制度、财务牵制制度、会计主管岗位职责等制度规定，社会保障和补助项目的拨付有完整的审批程序和手续，不存在截留、挤占、挪用等情况。</w:t>
      </w:r>
    </w:p>
    <w:p>
      <w:pPr>
        <w:spacing w:line="560" w:lineRule="exact"/>
        <w:ind w:firstLine="64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60" w:lineRule="exact"/>
        <w:ind w:firstLine="564" w:firstLineChars="181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（一）项目资金安排落实、总投入等情况分析</w:t>
      </w:r>
    </w:p>
    <w:p>
      <w:pPr>
        <w:spacing w:line="560" w:lineRule="exact"/>
        <w:ind w:firstLine="624" w:firstLineChars="200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根据新财行〔2015〕335号、喀地财社［2017］12号文件，</w:t>
      </w: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2018年喀格勒克镇村级运转经费预算312.58万元，2018年实际收预算312.58万元。</w:t>
      </w:r>
    </w:p>
    <w:p>
      <w:pPr>
        <w:spacing w:line="560" w:lineRule="exact"/>
        <w:ind w:firstLine="564" w:firstLineChars="181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（二）项目资金实际使用情况分析</w:t>
      </w:r>
    </w:p>
    <w:p>
      <w:pPr>
        <w:spacing w:line="560" w:lineRule="exact"/>
        <w:ind w:firstLine="624" w:firstLineChars="200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本项目实际支付资金312.58万元，预算执行率100%。项目全部用于支付各社区村级运转经费312.58万元。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 xml:space="preserve">项目资金管理情况分析 </w:t>
      </w:r>
    </w:p>
    <w:p>
      <w:pPr>
        <w:adjustRightInd w:val="0"/>
        <w:snapToGrid w:val="0"/>
        <w:spacing w:line="560" w:lineRule="exact"/>
        <w:ind w:firstLine="936" w:firstLineChars="3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本项目为叶城县村级运转经费项目，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项目资金符合《行政单位财务管理制度及办法》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为常规性支出项目，没有达到招投标限额,由本单位自行组织实施。实施过程均按照本单位制定的管理制度执行。项目不存在检查验收程序。也不存在调整情况。</w:t>
      </w:r>
    </w:p>
    <w:p>
      <w:pPr>
        <w:spacing w:line="560" w:lineRule="exact"/>
        <w:ind w:firstLine="64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三、项目组织实施情况</w:t>
      </w:r>
    </w:p>
    <w:p>
      <w:pPr>
        <w:spacing w:line="560" w:lineRule="exact"/>
        <w:ind w:firstLine="564" w:firstLineChars="181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项目实施过程中，县委组织部严格落实《叶城县村（社区）基层共用财务审批操作流程》，采取由村级党组织统计、审核上报，乡镇（场区）党（工）委审核把关上报，汇总后报财政部门审核确定，并按季度拨付资金，确保了项目顺利实施，各项资料齐全并及时归档。落实《关于进一步加强各项补助资金发放管理的通知》，不定期对项目进度情况进行督导检查，对检查过程中发现的问题及时督促整改，确保资金全部用于村级组织运转上。</w:t>
      </w:r>
    </w:p>
    <w:p>
      <w:pPr>
        <w:spacing w:line="560" w:lineRule="exact"/>
        <w:ind w:firstLine="564" w:firstLineChars="181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_GB2312" w:hAnsi="仿宋_GB2312" w:eastAsia="仿宋_GB2312" w:cs="仿宋_GB2312"/>
          <w:b w:val="0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喀格勒克镇村级运转经费项目实施过程中，镇党委根据县《村级运转经费项目管理》文件要求实施。项目开展由镇党建办公室进行监督。已建立运转经费使用管理办法，按要求审核每一笔支出资金，不定期对项目进度情况进行督导检查，对检查过程中发现的问题及时督促整改，确保了项目资金按文件要求合法合规支出。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喀格勒克镇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人民政府村级运转经费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专项资金补贴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项目资金，包括会计人员集中核算工作管理制度、财务收支审批制度、财务稽核制度、财务牵制制度、会计主管岗位职责等制度规定，社会保障和补助项目的拨付有完整的审批程序和手续，不存在截留、挤占、挪用等情况。</w:t>
      </w:r>
    </w:p>
    <w:p>
      <w:pPr>
        <w:spacing w:line="560" w:lineRule="exact"/>
        <w:ind w:firstLine="640"/>
        <w:rPr>
          <w:rStyle w:val="18"/>
          <w:rFonts w:ascii="黑体" w:hAnsi="黑体" w:eastAsia="黑体" w:cs="黑体"/>
          <w:b w:val="0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四、项目绩效情况</w:t>
      </w:r>
    </w:p>
    <w:p>
      <w:pPr>
        <w:spacing w:line="560" w:lineRule="exact"/>
        <w:ind w:firstLine="564" w:firstLineChars="181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（一）项目绩效目标完成情况分析</w:t>
      </w:r>
    </w:p>
    <w:p>
      <w:pPr>
        <w:widowControl/>
        <w:spacing w:line="560" w:lineRule="exact"/>
        <w:ind w:firstLine="624" w:firstLineChars="200"/>
        <w:jc w:val="left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本项目共设置一级指标3个，二级指标8个，三级指标8个，其中已完成三级指标8个，指标完成率为100%。根据年初设定的绩效目标，此项目自评得分为92分。</w:t>
      </w:r>
    </w:p>
    <w:p>
      <w:pPr>
        <w:spacing w:line="560" w:lineRule="exact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1.产出指标完成情况分析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（1）项目完成数量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bCs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该资金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主要用于社区日常开支，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经费保障村级运转经费拨付20个社区。</w:t>
      </w:r>
    </w:p>
    <w:p>
      <w:pPr>
        <w:spacing w:line="560" w:lineRule="exact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 xml:space="preserve">    （2）项目完成质量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该项目服务居民覆盖率100%，保证用于喀格勒克镇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人民政府村运转经费项目资金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，有效提高为民办实事的效率，达到了预期目标。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（3）项目实施进度</w:t>
      </w:r>
    </w:p>
    <w:p>
      <w:pPr>
        <w:spacing w:line="560" w:lineRule="exact"/>
        <w:ind w:firstLine="936" w:firstLineChars="3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该项目资金312.58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，该资金按照申报目标的进度进行，经费保障拨付及时率达100%,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该项目已经全部实施完毕。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（4）项目成本节约情况</w:t>
      </w:r>
    </w:p>
    <w:p>
      <w:pPr>
        <w:spacing w:line="560" w:lineRule="exact"/>
        <w:ind w:firstLine="936" w:firstLineChars="3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该项目为人员补助类项目，村级运转经费平均村（社区）年标准15.629万元/社区/年，无节约成本情况。</w:t>
      </w:r>
    </w:p>
    <w:p>
      <w:pPr>
        <w:spacing w:line="560" w:lineRule="exact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2.效益指标完成情况分析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（1）项目实施的经济效益分析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该项目的实施解决居民困难能力，提高居民生活质量100%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（2）项目实施的社会效益分析</w:t>
      </w:r>
    </w:p>
    <w:p>
      <w:pPr>
        <w:shd w:val="clear" w:color="auto" w:fill="FFFFFF" w:themeFill="background1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该项目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的实施，增加居民的积极性，有效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提高为民服务办事效率，效率提高为80%，基本已达年度设定的预期目标，完成良好。</w:t>
      </w:r>
    </w:p>
    <w:p>
      <w:pPr>
        <w:spacing w:line="560" w:lineRule="exact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 xml:space="preserve">    （3）项目实施的生态效益分析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无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（4）项目实施的可持续影响分析</w:t>
      </w:r>
    </w:p>
    <w:p>
      <w:pPr>
        <w:spacing w:line="560" w:lineRule="exact"/>
        <w:ind w:left="420" w:left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　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项目实施的可持续影响分析。该项目的顺利实施，保障社区正常运转可持续1年，能明显提升全乡困难居民的基本生活水平，增强居民的幸福指数，提升居民基础。</w:t>
      </w:r>
    </w:p>
    <w:p>
      <w:pPr>
        <w:numPr>
          <w:ilvl w:val="0"/>
          <w:numId w:val="2"/>
        </w:numPr>
        <w:spacing w:line="560" w:lineRule="exact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满意度指标完成情况分析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按计划完成项目实施，已做满意度调查问卷，受益对象满意度96%，服务对象满意度指标完成。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经济性：村级运转经费的落实，帮助居民解决生产生活上的困难和问题。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效率性：每季度首月底前拨付村级运转经费，2018年10月底已完成2018年度目标，完成率100%。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效益性：村级运转经费项目的实施，村级党组织有钱办事，服务居民更加得心应手，村级党组织在居民中的威望进一步得到提升。</w:t>
      </w:r>
    </w:p>
    <w:p>
      <w:pPr>
        <w:spacing w:line="560" w:lineRule="exact"/>
        <w:ind w:firstLine="564" w:firstLineChars="181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（二）项目绩效目标未完成原因分析</w:t>
      </w:r>
    </w:p>
    <w:p>
      <w:pPr>
        <w:spacing w:line="560" w:lineRule="exact"/>
        <w:ind w:firstLine="1182" w:firstLineChars="379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2018年本项目绩效目标全部达成</w:t>
      </w:r>
    </w:p>
    <w:p>
      <w:pPr>
        <w:spacing w:line="560" w:lineRule="exact"/>
        <w:ind w:firstLine="64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五、其他需要说明的问题</w:t>
      </w:r>
    </w:p>
    <w:p>
      <w:pPr>
        <w:spacing w:line="560" w:lineRule="exact"/>
        <w:ind w:firstLine="564" w:firstLineChars="181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780" w:firstLineChars="25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将继续按照上级要求，落实好2018年村级运转经费的预算工作，确保村级党组织有经费服务居民，达到争取民心、凝聚人心的目的。喀格勒克镇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人民政府在完成2018年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村运转经费项目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的基础上，将严格2019年部分预算编制工作，在下一年度工作中，严格执行预算支出。</w:t>
      </w:r>
    </w:p>
    <w:p>
      <w:pPr>
        <w:spacing w:line="560" w:lineRule="exact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 xml:space="preserve">    （二）主要经验及做法、存在问题和建议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主要经验及做法：为保障村级组织正常运转，促进农村经济发展，县财政局从三方面入手，着力强化村级经费管理。一是实行村账代管，规范财务管理。为了保证村级财务开支管理规范，将村级经费纳入财政预算管理，并设立“村级经费专户”，对村级经费实行专户管理、确保专款专用，从源头上杜绝了村组织经费截留、挪用现象，规范村级组织的财务管理。二是推行村级财务公开，加强民主理财。严格落实村级财务公开制度，实施村级组织运转经费保障政策、保障标准、资金使用情况“三公开”，在政府网站、“政务公开栏”、村（居）委会“村务公开栏”定期公开村级组织运转保障信息，接受居民监督，使村级经费运转在阳光下进行。三是加强监督管理，严控经费开支范围。纪检、组织、财政部门定期开展财务检查，对村组织财务公开的内容、时间、财务开支的范围和标准进行全面核查，明确规定村级组织运行经费的开支范围，禁止扩大使用范围，禁止将资金挪作他用，禁止任何单位平调、挤占，禁止抵扣上下债务往来，对在检查中发现的财务公开内容不全、时间不及时、开支不合规的现象及时查处，并督促其整改到位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存在问题：经费使用拨付还不够及时，个别社区报帐员业务基础差，报帐不及时 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建议：加大对报帐员的业务培训。</w:t>
      </w:r>
    </w:p>
    <w:p>
      <w:pPr>
        <w:spacing w:line="560" w:lineRule="exact"/>
        <w:ind w:firstLine="564" w:firstLineChars="181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无其他说明内容</w:t>
      </w:r>
    </w:p>
    <w:p>
      <w:pPr>
        <w:spacing w:line="560" w:lineRule="exact"/>
        <w:ind w:firstLine="64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村级组织是我国最基层的组织机构，是党在农村中的重要堡垒。一直以来，村级组织在推进基层民主建设、实现村民自治、落实党的政策和国家法律法规、促进脱贫攻坚中发挥着核心作用。通过实地调研、数据分析等方式，全面了解村级运转经费项目资金的使用效率和效果，项目管理过程规范，完成了预期绩效目标。同时，通过开展自我评价来总结经验和教训，为叶城县村级运转经费项目今后的开展提供参考建议。</w:t>
      </w:r>
    </w:p>
    <w:p>
      <w:pPr>
        <w:spacing w:line="560" w:lineRule="exact"/>
        <w:ind w:firstLine="64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七、附表</w:t>
      </w:r>
    </w:p>
    <w:p>
      <w:pPr>
        <w:spacing w:line="560" w:lineRule="exact"/>
        <w:ind w:firstLine="567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《项目支出绩效目标自评表》</w:t>
      </w:r>
    </w:p>
    <w:p>
      <w:pPr>
        <w:spacing w:line="560" w:lineRule="exact"/>
        <w:ind w:firstLine="567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14D9543"/>
    <w:multiLevelType w:val="singleLevel"/>
    <w:tmpl w:val="E14D9543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C498CE6"/>
    <w:multiLevelType w:val="singleLevel"/>
    <w:tmpl w:val="5C498CE6"/>
    <w:lvl w:ilvl="0" w:tentative="0">
      <w:start w:val="3"/>
      <w:numFmt w:val="chineseCounting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YjkzNzgyM2E2Yjg1NDJlZmFjYTEwNGIyZWYwNjY4MWIifQ=="/>
  </w:docVars>
  <w:rsids>
    <w:rsidRoot w:val="00CA6457"/>
    <w:rsid w:val="00005975"/>
    <w:rsid w:val="0001190A"/>
    <w:rsid w:val="00012917"/>
    <w:rsid w:val="00020298"/>
    <w:rsid w:val="00056465"/>
    <w:rsid w:val="00070F38"/>
    <w:rsid w:val="000F4629"/>
    <w:rsid w:val="00121AE4"/>
    <w:rsid w:val="00123EA1"/>
    <w:rsid w:val="00146AAD"/>
    <w:rsid w:val="0015121E"/>
    <w:rsid w:val="001B2627"/>
    <w:rsid w:val="001B3A40"/>
    <w:rsid w:val="001C3E5F"/>
    <w:rsid w:val="001F6AE1"/>
    <w:rsid w:val="003617E1"/>
    <w:rsid w:val="00420B4D"/>
    <w:rsid w:val="004366A8"/>
    <w:rsid w:val="00472EB6"/>
    <w:rsid w:val="004E224F"/>
    <w:rsid w:val="00502BA7"/>
    <w:rsid w:val="005162F1"/>
    <w:rsid w:val="00535153"/>
    <w:rsid w:val="00554F82"/>
    <w:rsid w:val="0056390D"/>
    <w:rsid w:val="005719B0"/>
    <w:rsid w:val="00580539"/>
    <w:rsid w:val="0058790A"/>
    <w:rsid w:val="00587EC9"/>
    <w:rsid w:val="005A6980"/>
    <w:rsid w:val="005D10D6"/>
    <w:rsid w:val="0060373C"/>
    <w:rsid w:val="006330D9"/>
    <w:rsid w:val="00640D51"/>
    <w:rsid w:val="0064625D"/>
    <w:rsid w:val="00686288"/>
    <w:rsid w:val="00706665"/>
    <w:rsid w:val="0076004A"/>
    <w:rsid w:val="007637A0"/>
    <w:rsid w:val="007A4018"/>
    <w:rsid w:val="007A644E"/>
    <w:rsid w:val="00810146"/>
    <w:rsid w:val="00824755"/>
    <w:rsid w:val="00855E3A"/>
    <w:rsid w:val="008940C7"/>
    <w:rsid w:val="008A51F8"/>
    <w:rsid w:val="00922CB9"/>
    <w:rsid w:val="009E5CD9"/>
    <w:rsid w:val="00A26421"/>
    <w:rsid w:val="00A4293B"/>
    <w:rsid w:val="00A556ED"/>
    <w:rsid w:val="00A67D50"/>
    <w:rsid w:val="00A8691A"/>
    <w:rsid w:val="00AB7F18"/>
    <w:rsid w:val="00AC1946"/>
    <w:rsid w:val="00AF4C9A"/>
    <w:rsid w:val="00B037D3"/>
    <w:rsid w:val="00B2337E"/>
    <w:rsid w:val="00B40063"/>
    <w:rsid w:val="00B41F61"/>
    <w:rsid w:val="00B45BF7"/>
    <w:rsid w:val="00B61C3F"/>
    <w:rsid w:val="00BA46E6"/>
    <w:rsid w:val="00C56C72"/>
    <w:rsid w:val="00C6034F"/>
    <w:rsid w:val="00C83256"/>
    <w:rsid w:val="00CA6457"/>
    <w:rsid w:val="00CA73EB"/>
    <w:rsid w:val="00CD7762"/>
    <w:rsid w:val="00CE538F"/>
    <w:rsid w:val="00D17F2E"/>
    <w:rsid w:val="00D30354"/>
    <w:rsid w:val="00DF42A0"/>
    <w:rsid w:val="00E363D9"/>
    <w:rsid w:val="00E56DCD"/>
    <w:rsid w:val="00E769FE"/>
    <w:rsid w:val="00EA2CBE"/>
    <w:rsid w:val="00EB3FCB"/>
    <w:rsid w:val="00F23294"/>
    <w:rsid w:val="00F239AF"/>
    <w:rsid w:val="00F32FEE"/>
    <w:rsid w:val="00FB10BB"/>
    <w:rsid w:val="00FC5802"/>
    <w:rsid w:val="01082CCE"/>
    <w:rsid w:val="06DD5070"/>
    <w:rsid w:val="084B37E1"/>
    <w:rsid w:val="0A206854"/>
    <w:rsid w:val="0A935602"/>
    <w:rsid w:val="0CE239BE"/>
    <w:rsid w:val="0FAE0942"/>
    <w:rsid w:val="14BF114D"/>
    <w:rsid w:val="164E3743"/>
    <w:rsid w:val="17FC1A97"/>
    <w:rsid w:val="1B7E27B6"/>
    <w:rsid w:val="1BAF3BDB"/>
    <w:rsid w:val="1C803F7A"/>
    <w:rsid w:val="1F47336F"/>
    <w:rsid w:val="29230C18"/>
    <w:rsid w:val="2BFF2910"/>
    <w:rsid w:val="2E0577E2"/>
    <w:rsid w:val="2E523D85"/>
    <w:rsid w:val="39AB6DC5"/>
    <w:rsid w:val="3E5751A9"/>
    <w:rsid w:val="40871369"/>
    <w:rsid w:val="40B63847"/>
    <w:rsid w:val="414F0481"/>
    <w:rsid w:val="43984C04"/>
    <w:rsid w:val="44476C49"/>
    <w:rsid w:val="46D26441"/>
    <w:rsid w:val="47CF2B08"/>
    <w:rsid w:val="4CA53594"/>
    <w:rsid w:val="4FC35197"/>
    <w:rsid w:val="51CA2D7C"/>
    <w:rsid w:val="52711013"/>
    <w:rsid w:val="52F45535"/>
    <w:rsid w:val="547E5935"/>
    <w:rsid w:val="54993668"/>
    <w:rsid w:val="561346B4"/>
    <w:rsid w:val="58466834"/>
    <w:rsid w:val="5CF91D4B"/>
    <w:rsid w:val="5F7E73DD"/>
    <w:rsid w:val="62572153"/>
    <w:rsid w:val="64FE403C"/>
    <w:rsid w:val="671D004A"/>
    <w:rsid w:val="679D4EE9"/>
    <w:rsid w:val="69EE17B8"/>
    <w:rsid w:val="6E381A90"/>
    <w:rsid w:val="6F01387F"/>
    <w:rsid w:val="762D5383"/>
    <w:rsid w:val="79D16910"/>
    <w:rsid w:val="7D47352D"/>
    <w:rsid w:val="7F8F5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uiPriority w:val="1"/>
  </w:style>
  <w:style w:type="table" w:default="1" w:styleId="1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customStyle="1" w:styleId="31">
    <w:name w:val="无间隔1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customStyle="1" w:styleId="32">
    <w:name w:val="列出段落1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customStyle="1" w:styleId="33">
    <w:name w:val="引用1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customStyle="1" w:styleId="35">
    <w:name w:val="明显引用1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85858" w:themeColor="text1" w:themeTint="A6"/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7</Pages>
  <Words>499</Words>
  <Characters>2848</Characters>
  <Lines>23</Lines>
  <Paragraphs>6</Paragraphs>
  <TotalTime>2</TotalTime>
  <ScaleCrop>false</ScaleCrop>
  <LinksUpToDate>false</LinksUpToDate>
  <CharactersWithSpaces>3341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2019-01-23T01:29:00Z</dcterms:created>
  <dc:creator>赵 恺（预算处）</dc:creator>
  <cp:lastModifiedBy>易安</cp:lastModifiedBy>
  <cp:lastPrinted>2018-12-31T10:56:00Z</cp:lastPrinted>
  <dcterms:modified xsi:type="dcterms:W3CDTF">2023-11-24T11:15:33Z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B355182EE66E4223A6E91221031FF556_12</vt:lpwstr>
  </property>
</Properties>
</file>