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highlight w:val="yellow"/>
        </w:rPr>
      </w:pPr>
    </w:p>
    <w:p>
      <w:pPr>
        <w:spacing w:line="540" w:lineRule="exact"/>
        <w:jc w:val="center"/>
        <w:rPr>
          <w:rFonts w:ascii="黑体" w:hAnsi="黑体" w:eastAsia="黑体" w:cs="黑体"/>
          <w:b/>
          <w:color w:val="000000"/>
          <w:sz w:val="44"/>
          <w:szCs w:val="44"/>
        </w:rPr>
      </w:pPr>
      <w:r>
        <w:rPr>
          <w:rFonts w:hint="eastAsia" w:ascii="黑体" w:hAnsi="黑体" w:eastAsia="黑体" w:cs="黑体"/>
          <w:b/>
          <w:color w:val="000000"/>
          <w:sz w:val="44"/>
          <w:szCs w:val="44"/>
        </w:rPr>
        <w:t>自治区财政项目支出绩效自评报告</w:t>
      </w:r>
    </w:p>
    <w:p>
      <w:pPr>
        <w:spacing w:line="540" w:lineRule="exact"/>
        <w:jc w:val="center"/>
        <w:rPr>
          <w:rFonts w:ascii="黑体" w:hAnsi="黑体" w:eastAsia="黑体" w:cs="黑体"/>
          <w:b/>
          <w:kern w:val="0"/>
          <w:sz w:val="44"/>
          <w:szCs w:val="44"/>
        </w:rPr>
      </w:pPr>
    </w:p>
    <w:p>
      <w:pPr>
        <w:spacing w:line="540" w:lineRule="exact"/>
        <w:jc w:val="center"/>
        <w:rPr>
          <w:rFonts w:ascii="黑体" w:hAnsi="黑体" w:eastAsia="黑体" w:cs="黑体"/>
          <w:kern w:val="0"/>
          <w:sz w:val="44"/>
          <w:szCs w:val="44"/>
        </w:rPr>
      </w:pPr>
      <w:r>
        <w:rPr>
          <w:rFonts w:hint="eastAsia" w:ascii="黑体" w:hAnsi="黑体" w:eastAsia="黑体" w:cs="黑体"/>
          <w:kern w:val="0"/>
          <w:sz w:val="44"/>
          <w:szCs w:val="44"/>
        </w:rPr>
        <w:t>（2018 年度）</w:t>
      </w: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700" w:lineRule="exact"/>
        <w:jc w:val="left"/>
        <w:rPr>
          <w:rFonts w:ascii="仿宋" w:hAnsi="仿宋" w:eastAsia="仿宋" w:cs="仿宋"/>
          <w:kern w:val="0"/>
          <w:sz w:val="32"/>
          <w:szCs w:val="32"/>
        </w:rPr>
      </w:pPr>
      <w:r>
        <w:rPr>
          <w:rFonts w:hint="eastAsia" w:ascii="黑体" w:hAnsi="黑体" w:eastAsia="黑体" w:cs="黑体"/>
          <w:kern w:val="0"/>
          <w:sz w:val="44"/>
          <w:szCs w:val="44"/>
        </w:rPr>
        <w:t xml:space="preserve">     </w:t>
      </w:r>
      <w:r>
        <w:rPr>
          <w:rFonts w:hint="eastAsia" w:ascii="仿宋" w:hAnsi="仿宋" w:eastAsia="仿宋" w:cs="仿宋"/>
          <w:kern w:val="0"/>
          <w:sz w:val="32"/>
          <w:szCs w:val="32"/>
        </w:rPr>
        <w:t>项目名称：工作经费项目</w:t>
      </w:r>
    </w:p>
    <w:p>
      <w:pPr>
        <w:spacing w:line="700" w:lineRule="exact"/>
        <w:jc w:val="left"/>
        <w:rPr>
          <w:rFonts w:ascii="仿宋" w:hAnsi="仿宋" w:eastAsia="仿宋" w:cs="仿宋"/>
          <w:kern w:val="0"/>
          <w:sz w:val="32"/>
          <w:szCs w:val="32"/>
        </w:rPr>
      </w:pPr>
      <w:r>
        <w:rPr>
          <w:rFonts w:hint="eastAsia" w:ascii="仿宋" w:hAnsi="仿宋" w:eastAsia="仿宋" w:cs="仿宋"/>
          <w:kern w:val="0"/>
          <w:sz w:val="32"/>
          <w:szCs w:val="32"/>
        </w:rPr>
        <w:t xml:space="preserve">     实施单位（公章）：叶城县喀格勒克镇人民政府</w:t>
      </w:r>
    </w:p>
    <w:p>
      <w:pPr>
        <w:spacing w:line="700" w:lineRule="exact"/>
        <w:ind w:firstLine="755" w:firstLineChars="236"/>
        <w:jc w:val="left"/>
        <w:rPr>
          <w:rFonts w:ascii="仿宋" w:hAnsi="仿宋" w:eastAsia="仿宋" w:cs="仿宋"/>
          <w:kern w:val="0"/>
          <w:sz w:val="32"/>
          <w:szCs w:val="32"/>
        </w:rPr>
      </w:pPr>
      <w:r>
        <w:rPr>
          <w:rFonts w:hint="eastAsia" w:ascii="仿宋" w:hAnsi="仿宋" w:eastAsia="仿宋" w:cs="仿宋"/>
          <w:kern w:val="0"/>
          <w:sz w:val="32"/>
          <w:szCs w:val="32"/>
        </w:rPr>
        <w:t>主管部门（公章）：叶城县喀格勒克镇人民政府</w:t>
      </w:r>
    </w:p>
    <w:p>
      <w:pPr>
        <w:spacing w:line="700" w:lineRule="exact"/>
        <w:ind w:firstLine="755" w:firstLineChars="236"/>
        <w:jc w:val="left"/>
        <w:rPr>
          <w:rFonts w:ascii="仿宋" w:hAnsi="仿宋" w:eastAsia="仿宋" w:cs="仿宋"/>
          <w:kern w:val="0"/>
          <w:sz w:val="32"/>
          <w:szCs w:val="32"/>
        </w:rPr>
      </w:pPr>
      <w:r>
        <w:rPr>
          <w:rFonts w:hint="eastAsia" w:ascii="仿宋" w:hAnsi="仿宋" w:eastAsia="仿宋" w:cs="仿宋"/>
          <w:kern w:val="0"/>
          <w:sz w:val="32"/>
          <w:szCs w:val="32"/>
        </w:rPr>
        <w:t>项目负责人（签章）：肖敏</w:t>
      </w:r>
    </w:p>
    <w:p>
      <w:pPr>
        <w:spacing w:line="700" w:lineRule="exact"/>
        <w:ind w:firstLine="755" w:firstLineChars="236"/>
        <w:jc w:val="left"/>
        <w:rPr>
          <w:rFonts w:ascii="仿宋" w:hAnsi="仿宋" w:eastAsia="仿宋" w:cs="仿宋"/>
          <w:kern w:val="0"/>
          <w:sz w:val="32"/>
          <w:szCs w:val="32"/>
        </w:rPr>
      </w:pPr>
      <w:r>
        <w:rPr>
          <w:rFonts w:hint="eastAsia" w:ascii="仿宋" w:hAnsi="仿宋" w:eastAsia="仿宋" w:cs="仿宋"/>
          <w:kern w:val="0"/>
          <w:sz w:val="32"/>
          <w:szCs w:val="32"/>
        </w:rPr>
        <w:t>填报时间：2018 年 12 月 25日</w:t>
      </w:r>
    </w:p>
    <w:p>
      <w:pPr>
        <w:spacing w:line="700" w:lineRule="exact"/>
        <w:ind w:firstLine="755" w:firstLineChars="236"/>
        <w:jc w:val="left"/>
        <w:rPr>
          <w:rFonts w:ascii="仿宋" w:hAnsi="仿宋" w:eastAsia="仿宋" w:cs="仿宋"/>
          <w:kern w:val="0"/>
          <w:sz w:val="32"/>
          <w:szCs w:val="32"/>
        </w:rPr>
      </w:pPr>
    </w:p>
    <w:p>
      <w:pPr>
        <w:spacing w:line="700" w:lineRule="exact"/>
        <w:ind w:firstLine="755" w:firstLineChars="236"/>
        <w:jc w:val="left"/>
        <w:rPr>
          <w:rFonts w:ascii="仿宋" w:hAnsi="仿宋" w:eastAsia="仿宋" w:cs="仿宋"/>
          <w:kern w:val="0"/>
          <w:sz w:val="32"/>
          <w:szCs w:val="32"/>
        </w:rPr>
      </w:pP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spacing w:line="560" w:lineRule="exact"/>
        <w:ind w:firstLine="567"/>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（一）项目单位基本情况</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叶城县喀格勒克镇属机关行政部门，乡科级行政单位，辖10个社区；全镇有43915多居民，10899户，全镇维吾尔族占97%。</w:t>
      </w:r>
      <w:r>
        <w:rPr>
          <w:rFonts w:hint="eastAsia" w:ascii="仿宋_GB2312" w:hAnsi="仿宋_GB2312" w:eastAsia="仿宋_GB2312" w:cs="仿宋_GB2312"/>
          <w:bCs/>
          <w:sz w:val="32"/>
          <w:szCs w:val="32"/>
        </w:rPr>
        <w:t>其中行政编制78人，行政（工勤）2人，参照公务员法管理人员编制7人，全额事业人员编制100人，自收自支编0人。</w:t>
      </w:r>
    </w:p>
    <w:p>
      <w:pPr>
        <w:widowControl/>
        <w:shd w:val="clear" w:color="auto" w:fill="FFFFFF"/>
        <w:spacing w:line="560" w:lineRule="exact"/>
        <w:ind w:firstLine="707" w:firstLineChars="221"/>
        <w:jc w:val="left"/>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主要职能：负责全镇党政行政管理事务。负责全镇经济社会发展、社会事务管理、基层组织建设等全面工作。以全面建设社会主义新农村为根本出发点，不断深化美丽乡村建设，不断铸牢全镇经济社会发展基础，为全镇居民提供社会服务。</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（二）项目预算绩效目标设定情况</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1、项目预期目标及阶段性目标</w:t>
      </w:r>
    </w:p>
    <w:p>
      <w:pPr>
        <w:spacing w:line="560" w:lineRule="exact"/>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喀格勒克镇实施工作经费项目总金额为120万元，包含全乡10899户，每户覆盖4次，按年度工作计划，确保工作的落实。</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项目基本性质</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本项目性质为延续项目。</w:t>
      </w:r>
    </w:p>
    <w:p>
      <w:pPr>
        <w:numPr>
          <w:ilvl w:val="0"/>
          <w:numId w:val="1"/>
        </w:num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项目用途及范围</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根据新财行〔2015〕335号、喀地财社［2017］12号文件，</w:t>
      </w:r>
    </w:p>
    <w:p>
      <w:pPr>
        <w:adjustRightInd w:val="0"/>
        <w:snapToGrid w:val="0"/>
        <w:spacing w:line="560" w:lineRule="exact"/>
        <w:ind w:firstLine="624" w:firstLineChars="200"/>
        <w:outlineLvl w:val="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为做好乡镇工作，确保工作落到实处，专项预算乡镇工作经费，覆盖全镇10899户开展工作。</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（一）项目资金安排落实、总投入等情况分析</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根据新财行〔2015〕335号、喀地财社［2017］12号文件，</w:t>
      </w:r>
    </w:p>
    <w:p>
      <w:pPr>
        <w:adjustRightInd w:val="0"/>
        <w:snapToGrid w:val="0"/>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喀格勒克镇工作经费项目预算安排总额为120万元，其中财政资金120万元，自筹资金0万元，2018年实际收到预算资金120万元。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（二）项目资金实际使用情况分析</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喀格勒克镇工作经费项目实际支付资金120万元，预算执行率100%。项目资金主要用于支付工作120万元。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（三）项目资金管理情况分析</w:t>
      </w:r>
    </w:p>
    <w:p>
      <w:pPr>
        <w:adjustRightInd w:val="0"/>
        <w:snapToGrid w:val="0"/>
        <w:spacing w:line="560" w:lineRule="exact"/>
        <w:ind w:firstLine="624" w:firstLineChars="200"/>
        <w:rPr>
          <w:rFonts w:ascii="仿宋_GB2312" w:hAnsi="仿宋_GB2312" w:eastAsia="仿宋_GB2312" w:cs="仿宋_GB2312"/>
          <w:bCs/>
          <w:sz w:val="32"/>
          <w:szCs w:val="32"/>
        </w:rPr>
      </w:pPr>
      <w:r>
        <w:rPr>
          <w:rFonts w:hint="eastAsia" w:ascii="仿宋_GB2312" w:hAnsi="仿宋_GB2312" w:eastAsia="仿宋_GB2312" w:cs="仿宋_GB2312"/>
          <w:bCs/>
          <w:color w:val="000000"/>
          <w:spacing w:val="-4"/>
          <w:sz w:val="32"/>
          <w:szCs w:val="32"/>
        </w:rPr>
        <w:t>喀格勒克镇工作经费项目支出符合喀格勒克镇《行政单位财务管理制度及办法》，包括会计人员集中核算工作管理制度、财务收支审批制度、财务稽核制度、财务牵制制度、会计主管岗位职责等制度规定，资金的拨付有完整的审批程序和手续，不存在截留、挤占、挪用等情况。</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三、项目组织实施情况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（一）项目组织情况分析</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喀格勒克镇工作经费</w:t>
      </w:r>
      <w:r>
        <w:rPr>
          <w:rStyle w:val="18"/>
          <w:rFonts w:hint="eastAsia" w:ascii="仿宋_GB2312" w:hAnsi="仿宋_GB2312" w:eastAsia="仿宋_GB2312" w:cs="仿宋_GB2312"/>
          <w:b w:val="0"/>
          <w:color w:val="000000"/>
          <w:spacing w:val="-4"/>
          <w:sz w:val="32"/>
          <w:szCs w:val="32"/>
        </w:rPr>
        <w:t>项目属于新增性零星项目,按照镇机关干部职工实施工作情况进行支出,由本单位自行组织实施。实施过程均按照本单位制定的管理制度执行。</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本项目不存在调整情况。</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为保证项目质量和成本控制，该经费支出由镇党建办成立工作办公室，按照各社区提供的困难居民调账和干部职工开展工作台账进行统计发放帮扶补助资金。</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（二）项目管理情况分析</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喀格勒克镇工作经费项目实施过程中，镇党委根据县工作开展相关要求实施。项目开展由镇党建办工作办公室进行监督。已建立《工作开展台帐》，不定期对项目进度情况进行督导检查，对检查过程中发现的问题及时督促整改，确保了项目按时保质完成。</w:t>
      </w:r>
    </w:p>
    <w:p>
      <w:pPr>
        <w:spacing w:line="560" w:lineRule="exact"/>
        <w:ind w:firstLine="640"/>
        <w:rPr>
          <w:rStyle w:val="18"/>
          <w:rFonts w:ascii="黑体" w:hAnsi="黑体" w:eastAsia="黑体" w:cs="黑体"/>
          <w:b w:val="0"/>
          <w:sz w:val="32"/>
          <w:szCs w:val="32"/>
        </w:rPr>
      </w:pPr>
      <w:r>
        <w:rPr>
          <w:rStyle w:val="18"/>
          <w:rFonts w:hint="eastAsia" w:ascii="黑体" w:hAnsi="黑体" w:eastAsia="黑体" w:cs="黑体"/>
          <w:b w:val="0"/>
          <w:spacing w:val="-4"/>
          <w:sz w:val="32"/>
          <w:szCs w:val="32"/>
        </w:rPr>
        <w:t>四、项目绩效情况</w:t>
      </w:r>
      <w:r>
        <w:rPr>
          <w:rStyle w:val="18"/>
          <w:rFonts w:hint="eastAsia" w:ascii="黑体" w:hAnsi="黑体" w:eastAsia="黑体" w:cs="黑体"/>
          <w:b w:val="0"/>
          <w:sz w:val="32"/>
          <w:szCs w:val="32"/>
        </w:rPr>
        <w:t xml:space="preserve"> </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（一）项目绩效目标完成情况分析</w:t>
      </w:r>
    </w:p>
    <w:p>
      <w:pPr>
        <w:widowControl/>
        <w:spacing w:line="560" w:lineRule="exact"/>
        <w:ind w:firstLine="624" w:firstLineChars="200"/>
        <w:jc w:val="lef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本项目共设置一级指标3个，二级指标7个，三级指标9个，其中已完成三级指标9个，指标完成率为100%。根据年初设定的绩效目标，此项目自评得分为90分。</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1.产出指标完成情况分析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（1）项目完成数量</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喀格勒克镇人民政府乡镇工作经费项目实际支付资金120万元，预算执行率100%，项目资金主要用于支付开展工作活动，覆盖全镇10899户居民，每户每年4次，每次27.53元。</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 xml:space="preserve">   （2）项目完成质量</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该项目严格按照相关要求进行实施，</w:t>
      </w:r>
      <w:r>
        <w:rPr>
          <w:rFonts w:hint="eastAsia" w:ascii="仿宋_GB2312" w:hAnsi="仿宋_GB2312" w:eastAsia="仿宋_GB2312" w:cs="仿宋_GB2312"/>
          <w:bCs/>
          <w:color w:val="000000" w:themeColor="text1"/>
          <w:spacing w:val="-4"/>
          <w:sz w:val="32"/>
          <w:szCs w:val="32"/>
        </w:rPr>
        <w:t>全乡经费保障率100%，</w:t>
      </w:r>
      <w:r>
        <w:rPr>
          <w:rFonts w:hint="eastAsia" w:ascii="仿宋_GB2312" w:hAnsi="仿宋_GB2312" w:eastAsia="仿宋_GB2312" w:cs="仿宋_GB2312"/>
          <w:bCs/>
          <w:color w:val="000000"/>
          <w:spacing w:val="-4"/>
          <w:sz w:val="32"/>
          <w:szCs w:val="32"/>
        </w:rPr>
        <w:t>未出现明显问题。</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 xml:space="preserve">   （3）项目实施进度</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喀格勒克镇人民政府乡镇工作经费项目实际支付资金120万元，</w:t>
      </w:r>
      <w:r>
        <w:rPr>
          <w:rFonts w:hint="eastAsia" w:ascii="仿宋_GB2312" w:hAnsi="仿宋_GB2312" w:eastAsia="仿宋_GB2312" w:cs="仿宋_GB2312"/>
          <w:bCs/>
          <w:color w:val="000000"/>
          <w:spacing w:val="-4"/>
          <w:sz w:val="32"/>
          <w:szCs w:val="32"/>
        </w:rPr>
        <w:t>均用于工作人员开展相关工作，</w:t>
      </w:r>
      <w:r>
        <w:rPr>
          <w:rFonts w:hint="eastAsia" w:ascii="仿宋_GB2312" w:hAnsi="仿宋_GB2312" w:eastAsia="仿宋_GB2312" w:cs="仿宋_GB2312"/>
          <w:bCs/>
          <w:color w:val="000000" w:themeColor="text1"/>
          <w:spacing w:val="-4"/>
          <w:sz w:val="32"/>
          <w:szCs w:val="32"/>
        </w:rPr>
        <w:t>资金支付及时率100%,</w:t>
      </w:r>
      <w:r>
        <w:rPr>
          <w:rFonts w:hint="eastAsia" w:ascii="仿宋_GB2312" w:hAnsi="仿宋_GB2312" w:eastAsia="仿宋_GB2312" w:cs="仿宋_GB2312"/>
          <w:bCs/>
          <w:color w:val="000000"/>
          <w:spacing w:val="-4"/>
          <w:sz w:val="32"/>
          <w:szCs w:val="32"/>
        </w:rPr>
        <w:t>该项目已经按照要求全部实施完毕</w:t>
      </w:r>
      <w:r>
        <w:rPr>
          <w:rFonts w:hint="eastAsia" w:ascii="仿宋_GB2312" w:hAnsi="仿宋_GB2312" w:eastAsia="仿宋_GB2312" w:cs="仿宋_GB2312"/>
          <w:bCs/>
          <w:color w:val="000000" w:themeColor="text1"/>
          <w:spacing w:val="-4"/>
          <w:sz w:val="32"/>
          <w:szCs w:val="32"/>
        </w:rPr>
        <w:t>。</w:t>
      </w:r>
    </w:p>
    <w:p>
      <w:pPr>
        <w:spacing w:line="560" w:lineRule="exact"/>
        <w:ind w:firstLine="936" w:firstLineChars="3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按照申报目标的进度进行</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（4）项目成本节约情况</w:t>
      </w:r>
    </w:p>
    <w:p>
      <w:pPr>
        <w:spacing w:line="560" w:lineRule="exact"/>
        <w:ind w:firstLine="936" w:firstLineChars="300"/>
        <w:rPr>
          <w:rFonts w:ascii="仿宋_GB2312" w:hAnsi="仿宋_GB2312" w:eastAsia="仿宋_GB2312" w:cs="仿宋_GB2312"/>
          <w:bCs/>
          <w:color w:val="000000"/>
          <w:spacing w:val="-4"/>
          <w:sz w:val="32"/>
          <w:szCs w:val="32"/>
        </w:rPr>
      </w:pPr>
      <w:r>
        <w:rPr>
          <w:rStyle w:val="18"/>
          <w:rFonts w:hint="eastAsia" w:ascii="仿宋_GB2312" w:hAnsi="仿宋_GB2312" w:eastAsia="仿宋_GB2312" w:cs="仿宋_GB2312"/>
          <w:b w:val="0"/>
          <w:color w:val="000000"/>
          <w:spacing w:val="-4"/>
          <w:sz w:val="32"/>
          <w:szCs w:val="32"/>
        </w:rPr>
        <w:t>该项目的实施成本为工作每户支出金额27.53元/次。</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2.效益指标完成情况分析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（1）项目实施的经济效益分析</w:t>
      </w:r>
    </w:p>
    <w:p>
      <w:pPr>
        <w:spacing w:line="560" w:lineRule="exact"/>
        <w:ind w:firstLine="640"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themeColor="text1"/>
          <w:sz w:val="32"/>
          <w:szCs w:val="32"/>
        </w:rPr>
        <w:t>截</w:t>
      </w:r>
      <w:r>
        <w:rPr>
          <w:rFonts w:hint="eastAsia" w:ascii="仿宋_GB2312" w:hAnsi="仿宋_GB2312" w:eastAsia="仿宋_GB2312" w:cs="仿宋_GB2312"/>
          <w:bCs/>
          <w:color w:val="000000" w:themeColor="text1"/>
          <w:sz w:val="32"/>
          <w:szCs w:val="32"/>
          <w:lang w:eastAsia="zh-CN"/>
        </w:rPr>
        <w:t>至</w:t>
      </w:r>
      <w:r>
        <w:rPr>
          <w:rFonts w:hint="eastAsia" w:ascii="仿宋_GB2312" w:hAnsi="仿宋_GB2312" w:eastAsia="仿宋_GB2312" w:cs="仿宋_GB2312"/>
          <w:bCs/>
          <w:color w:val="000000" w:themeColor="text1"/>
          <w:sz w:val="32"/>
          <w:szCs w:val="32"/>
        </w:rPr>
        <w:t>目前，该项目已全部实施完毕，增加贫困户收入100元，达到了项目预定绩效各项年度指标值。</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（2）项目实施的社会效益分析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该项目的实施社会服务能力提升8</w:t>
      </w:r>
      <w:bookmarkStart w:id="0" w:name="_GoBack"/>
      <w:bookmarkEnd w:id="0"/>
      <w:r>
        <w:rPr>
          <w:rFonts w:hint="eastAsia" w:ascii="仿宋_GB2312" w:hAnsi="仿宋_GB2312" w:eastAsia="仿宋_GB2312" w:cs="仿宋_GB2312"/>
          <w:bCs/>
          <w:color w:val="000000"/>
          <w:spacing w:val="-4"/>
          <w:sz w:val="32"/>
          <w:szCs w:val="32"/>
        </w:rPr>
        <w:t>5%。</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（3）项目实施的生态效益分析</w:t>
      </w:r>
    </w:p>
    <w:p>
      <w:pPr>
        <w:spacing w:line="560" w:lineRule="exact"/>
        <w:ind w:firstLine="624"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pacing w:val="-4"/>
          <w:sz w:val="32"/>
          <w:szCs w:val="32"/>
        </w:rPr>
        <w:t>无</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 xml:space="preserve">    （4）项目实施的可持续影响分析</w:t>
      </w:r>
    </w:p>
    <w:p>
      <w:pPr>
        <w:spacing w:line="560" w:lineRule="exac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 xml:space="preserve">     该项目的顺利实施，能明显提升全乡困难的基本生活水平，工作基础不断夯实。</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该项目的实施为居民提供政府性公共服务持续1年</w:t>
      </w:r>
    </w:p>
    <w:p>
      <w:pPr>
        <w:numPr>
          <w:ilvl w:val="0"/>
          <w:numId w:val="2"/>
        </w:num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满意度指标完成情况分析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按计划完成项目实施，已做满意度调查问卷，居民满意度97%，服务对象满意度指标完成。</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经济性：按照勤俭办公的要求，按每人每天开展工作27.53元进行控制，确保了低投入、高效率。</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效率性：乡镇严格按照县委、县人民政府的要求，该项目100%的完成，覆盖了全乡10899户开展了工作。</w:t>
      </w:r>
    </w:p>
    <w:p>
      <w:pPr>
        <w:spacing w:line="560" w:lineRule="exact"/>
        <w:ind w:firstLine="564" w:firstLineChars="181"/>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效益性：通过工作的开展，为新农村建设创造了良好的社会氛围</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（二）项目绩效目标未完成原因分析</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五、其他需要说明的问题</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（一）后续工作计划</w:t>
      </w:r>
    </w:p>
    <w:p>
      <w:pPr>
        <w:adjustRightInd w:val="0"/>
        <w:snapToGrid w:val="0"/>
        <w:spacing w:line="560" w:lineRule="exact"/>
        <w:ind w:firstLine="780" w:firstLineChars="25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spacing w:val="-4"/>
          <w:sz w:val="32"/>
          <w:szCs w:val="32"/>
        </w:rPr>
        <w:t>通过2018年开展工作以来，取得了良好的社会效益，我们将在下一步的工作中总结经验，查找不足，为今后做好工作提供经验和做法。喀格勒克镇</w:t>
      </w:r>
      <w:r>
        <w:rPr>
          <w:rFonts w:hint="eastAsia" w:ascii="仿宋_GB2312" w:hAnsi="仿宋_GB2312" w:eastAsia="仿宋_GB2312" w:cs="仿宋_GB2312"/>
          <w:bCs/>
          <w:color w:val="000000" w:themeColor="text1"/>
          <w:spacing w:val="-4"/>
          <w:sz w:val="32"/>
          <w:szCs w:val="32"/>
        </w:rPr>
        <w:t>人民政府在完成2018年组乡镇工作经费项目的基础上，将严格2019年部分预算编制工作，在下一年度工作中，严格执行预算支出。</w:t>
      </w:r>
    </w:p>
    <w:p>
      <w:pPr>
        <w:spacing w:line="560" w:lineRule="exact"/>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 xml:space="preserve">   （二）主要经验及做法、存在问题和建议</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1、主要经验及做法</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喀格勒克镇工作经费项目实施过程中，镇党委根据县工作开展相关要求实施。项目开展由镇党建办工作办公室进行监督。已建立《工作开展台帐》，不定期对项目进度情况进行督导检查，对检查过程中发现的问题及时督促整改，确保了项目按时保质完成。</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通过2018年开展工作以来，取得了良好的社会效益，我们将在下一步的工作中总结经验，为今后做好工作提供经验和做法。</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2、存在的问题</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今年在开展此项工作中，因各部门之间协调不及时，还存在统计数据和资金支出不够及时的情况。</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3、建议</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在下一步开展工作中，加强全镇部门间协调，及时形成支出，加强跟踪问效，确保财政资金效益最大化。</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（三）其他</w:t>
      </w:r>
    </w:p>
    <w:p>
      <w:pPr>
        <w:spacing w:line="560" w:lineRule="exact"/>
        <w:ind w:firstLine="64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无其他说明内容</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六、项目评价工作情况</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喀格勒克镇工作经费项目评价通过台帐查阅、实地调研、数据分析等方式，全面了解工作项目资金的使用效率和效果，项目管理过程是否规范，是否完成了预期绩效目标等。同时，通过开展自我评价来总结经验和教训，为喀格勒克镇工作经费项目今后的开展提供参考建议。</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七、附表</w:t>
      </w:r>
    </w:p>
    <w:p>
      <w:pPr>
        <w:spacing w:line="560" w:lineRule="exact"/>
        <w:ind w:firstLine="567"/>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w:t>
      </w:r>
      <w:r>
        <w:rPr>
          <w:rFonts w:hint="eastAsia" w:ascii="仿宋_GB2312" w:hAnsi="仿宋_GB2312" w:eastAsia="仿宋_GB2312" w:cs="仿宋_GB2312"/>
          <w:bCs/>
          <w:color w:val="000000"/>
          <w:spacing w:val="-4"/>
          <w:sz w:val="32"/>
          <w:szCs w:val="32"/>
        </w:rPr>
        <w:t>项目支出绩效目标自评表</w:t>
      </w:r>
      <w:r>
        <w:rPr>
          <w:rStyle w:val="18"/>
          <w:rFonts w:hint="eastAsia" w:ascii="仿宋_GB2312" w:hAnsi="仿宋_GB2312" w:eastAsia="仿宋_GB2312" w:cs="仿宋_GB2312"/>
          <w:b w:val="0"/>
          <w:spacing w:val="-4"/>
          <w:sz w:val="32"/>
          <w:szCs w:val="32"/>
        </w:rPr>
        <w:t>》</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667969"/>
    <w:multiLevelType w:val="singleLevel"/>
    <w:tmpl w:val="AB667969"/>
    <w:lvl w:ilvl="0" w:tentative="0">
      <w:start w:val="2"/>
      <w:numFmt w:val="decimal"/>
      <w:suff w:val="nothing"/>
      <w:lvlText w:val="%1、"/>
      <w:lvlJc w:val="left"/>
    </w:lvl>
  </w:abstractNum>
  <w:abstractNum w:abstractNumId="1">
    <w:nsid w:val="E14D9543"/>
    <w:multiLevelType w:val="singleLevel"/>
    <w:tmpl w:val="E14D9543"/>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zNzgyM2E2Yjg1NDJlZmFjYTEwNGIyZWYwNjY4MWIifQ=="/>
  </w:docVars>
  <w:rsids>
    <w:rsidRoot w:val="00CA6457"/>
    <w:rsid w:val="00012C37"/>
    <w:rsid w:val="00035741"/>
    <w:rsid w:val="00042FBB"/>
    <w:rsid w:val="00056465"/>
    <w:rsid w:val="0007015D"/>
    <w:rsid w:val="00070F38"/>
    <w:rsid w:val="00095223"/>
    <w:rsid w:val="000D1B6D"/>
    <w:rsid w:val="001055AB"/>
    <w:rsid w:val="001172AC"/>
    <w:rsid w:val="00121AE4"/>
    <w:rsid w:val="00146AAD"/>
    <w:rsid w:val="00164A5E"/>
    <w:rsid w:val="001B2627"/>
    <w:rsid w:val="001B3A40"/>
    <w:rsid w:val="001C123D"/>
    <w:rsid w:val="001F6AE1"/>
    <w:rsid w:val="002076EB"/>
    <w:rsid w:val="00211BB9"/>
    <w:rsid w:val="00211D02"/>
    <w:rsid w:val="00244932"/>
    <w:rsid w:val="002740CF"/>
    <w:rsid w:val="00285BD6"/>
    <w:rsid w:val="00292311"/>
    <w:rsid w:val="00293A14"/>
    <w:rsid w:val="002D58D8"/>
    <w:rsid w:val="00326617"/>
    <w:rsid w:val="003569FF"/>
    <w:rsid w:val="003617E1"/>
    <w:rsid w:val="003875DA"/>
    <w:rsid w:val="003C6A9C"/>
    <w:rsid w:val="003D5D6F"/>
    <w:rsid w:val="003E1F0E"/>
    <w:rsid w:val="003E51C4"/>
    <w:rsid w:val="004170FC"/>
    <w:rsid w:val="004366A8"/>
    <w:rsid w:val="004712CC"/>
    <w:rsid w:val="00502BA7"/>
    <w:rsid w:val="005162F1"/>
    <w:rsid w:val="005171A4"/>
    <w:rsid w:val="00535153"/>
    <w:rsid w:val="00554F82"/>
    <w:rsid w:val="0056390D"/>
    <w:rsid w:val="005719B0"/>
    <w:rsid w:val="00587EC9"/>
    <w:rsid w:val="005A4C35"/>
    <w:rsid w:val="005B06D6"/>
    <w:rsid w:val="005C1BC4"/>
    <w:rsid w:val="005D10D6"/>
    <w:rsid w:val="00622FFE"/>
    <w:rsid w:val="006330D9"/>
    <w:rsid w:val="0064625D"/>
    <w:rsid w:val="0067185A"/>
    <w:rsid w:val="006A4EC9"/>
    <w:rsid w:val="00714F7A"/>
    <w:rsid w:val="00725F95"/>
    <w:rsid w:val="007260AF"/>
    <w:rsid w:val="00726B7A"/>
    <w:rsid w:val="00731E74"/>
    <w:rsid w:val="007542E5"/>
    <w:rsid w:val="007569F0"/>
    <w:rsid w:val="0076004A"/>
    <w:rsid w:val="007A4018"/>
    <w:rsid w:val="007A6425"/>
    <w:rsid w:val="007E1B62"/>
    <w:rsid w:val="007F6E18"/>
    <w:rsid w:val="00816013"/>
    <w:rsid w:val="00831966"/>
    <w:rsid w:val="00855E3A"/>
    <w:rsid w:val="008C449D"/>
    <w:rsid w:val="00915D7F"/>
    <w:rsid w:val="00922CB9"/>
    <w:rsid w:val="00930F5D"/>
    <w:rsid w:val="00937AD2"/>
    <w:rsid w:val="00982A15"/>
    <w:rsid w:val="00984984"/>
    <w:rsid w:val="009B6FD0"/>
    <w:rsid w:val="009E2C86"/>
    <w:rsid w:val="009E5CD9"/>
    <w:rsid w:val="00A26421"/>
    <w:rsid w:val="00A4293B"/>
    <w:rsid w:val="00A67D50"/>
    <w:rsid w:val="00A8262D"/>
    <w:rsid w:val="00A8691A"/>
    <w:rsid w:val="00AC1946"/>
    <w:rsid w:val="00B048DC"/>
    <w:rsid w:val="00B37A8F"/>
    <w:rsid w:val="00B40063"/>
    <w:rsid w:val="00B41F61"/>
    <w:rsid w:val="00B61C3F"/>
    <w:rsid w:val="00B92CAB"/>
    <w:rsid w:val="00B92F01"/>
    <w:rsid w:val="00BA46E6"/>
    <w:rsid w:val="00BE404B"/>
    <w:rsid w:val="00C14A8A"/>
    <w:rsid w:val="00C56C72"/>
    <w:rsid w:val="00C9666E"/>
    <w:rsid w:val="00C97124"/>
    <w:rsid w:val="00CA6457"/>
    <w:rsid w:val="00CE538F"/>
    <w:rsid w:val="00CE706E"/>
    <w:rsid w:val="00D052F4"/>
    <w:rsid w:val="00D17F2E"/>
    <w:rsid w:val="00D22951"/>
    <w:rsid w:val="00D30354"/>
    <w:rsid w:val="00D52226"/>
    <w:rsid w:val="00DD3EB7"/>
    <w:rsid w:val="00DF42A0"/>
    <w:rsid w:val="00DF5AA5"/>
    <w:rsid w:val="00E4225D"/>
    <w:rsid w:val="00E46613"/>
    <w:rsid w:val="00E56DCD"/>
    <w:rsid w:val="00E769FE"/>
    <w:rsid w:val="00E9463C"/>
    <w:rsid w:val="00EA2CBE"/>
    <w:rsid w:val="00EA71C3"/>
    <w:rsid w:val="00EC08BA"/>
    <w:rsid w:val="00EE194C"/>
    <w:rsid w:val="00F0680D"/>
    <w:rsid w:val="00F239AF"/>
    <w:rsid w:val="00F32FEE"/>
    <w:rsid w:val="00FA65A4"/>
    <w:rsid w:val="00FB10BB"/>
    <w:rsid w:val="01BE044E"/>
    <w:rsid w:val="06D57EF2"/>
    <w:rsid w:val="0E251B66"/>
    <w:rsid w:val="105033FB"/>
    <w:rsid w:val="14C93AD0"/>
    <w:rsid w:val="14E13FE1"/>
    <w:rsid w:val="23E4117F"/>
    <w:rsid w:val="2A640429"/>
    <w:rsid w:val="2F097207"/>
    <w:rsid w:val="321A1E28"/>
    <w:rsid w:val="3B4442A8"/>
    <w:rsid w:val="3B6C4619"/>
    <w:rsid w:val="40C94FBA"/>
    <w:rsid w:val="418E1446"/>
    <w:rsid w:val="42BD2C72"/>
    <w:rsid w:val="432D7BED"/>
    <w:rsid w:val="44CB65F7"/>
    <w:rsid w:val="5112310A"/>
    <w:rsid w:val="553305F4"/>
    <w:rsid w:val="57350DEF"/>
    <w:rsid w:val="57403BA8"/>
    <w:rsid w:val="5BDA39DE"/>
    <w:rsid w:val="5C234325"/>
    <w:rsid w:val="61604CEB"/>
    <w:rsid w:val="620E2265"/>
    <w:rsid w:val="66E15C66"/>
    <w:rsid w:val="6E686AD7"/>
    <w:rsid w:val="6F304894"/>
    <w:rsid w:val="6F756EFA"/>
    <w:rsid w:val="74556AFB"/>
    <w:rsid w:val="790438A8"/>
    <w:rsid w:val="797E6F9C"/>
    <w:rsid w:val="7BEE1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410</Words>
  <Characters>2338</Characters>
  <Lines>19</Lines>
  <Paragraphs>5</Paragraphs>
  <TotalTime>1</TotalTime>
  <ScaleCrop>false</ScaleCrop>
  <LinksUpToDate>false</LinksUpToDate>
  <CharactersWithSpaces>2743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2019-01-23T01:29:00Z</dcterms:created>
  <dc:creator>赵 恺（预算处）</dc:creator>
  <cp:lastModifiedBy>Administrator</cp:lastModifiedBy>
  <cp:lastPrinted>2018-12-31T10:56:00Z</cp:lastPrinted>
  <dcterms:modified xsi:type="dcterms:W3CDTF">2023-12-13T08:35:21Z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3CD209A08BD742398488888F4A4FA17E_12</vt:lpwstr>
  </property>
</Properties>
</file>