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700" w:lineRule="exact"/>
        <w:jc w:val="center"/>
        <w:rPr>
          <w:rFonts w:ascii="华文中宋" w:hAnsi="华文中宋" w:eastAsia="华文中宋" w:cs="华文中宋"/>
          <w:kern w:val="0"/>
          <w:sz w:val="36"/>
          <w:szCs w:val="36"/>
        </w:rPr>
      </w:pPr>
      <w:r>
        <w:rPr>
          <w:rFonts w:hint="eastAsia" w:ascii="黑体" w:hAnsi="黑体" w:eastAsia="黑体" w:cs="黑体"/>
          <w:bCs/>
          <w:sz w:val="44"/>
          <w:szCs w:val="44"/>
        </w:rPr>
        <w:t>自治区财政项目支出绩效自评报告</w:t>
      </w:r>
    </w:p>
    <w:p>
      <w:pPr>
        <w:spacing w:line="700" w:lineRule="exact"/>
        <w:jc w:val="center"/>
        <w:rPr>
          <w:rFonts w:ascii="华文中宋" w:hAnsi="华文中宋" w:eastAsia="华文中宋" w:cs="华文中宋"/>
          <w:kern w:val="0"/>
          <w:sz w:val="36"/>
          <w:szCs w:val="36"/>
        </w:rPr>
      </w:pPr>
    </w:p>
    <w:p>
      <w:pPr>
        <w:spacing w:line="700" w:lineRule="exact"/>
        <w:jc w:val="center"/>
        <w:rPr>
          <w:rFonts w:ascii="黑体" w:hAnsi="黑体" w:eastAsia="黑体" w:cs="华文中宋"/>
          <w:kern w:val="0"/>
          <w:sz w:val="36"/>
          <w:szCs w:val="36"/>
        </w:rPr>
      </w:pPr>
      <w:r>
        <w:rPr>
          <w:rFonts w:hint="eastAsia" w:ascii="黑体" w:hAnsi="黑体" w:eastAsia="黑体" w:cs="华文中宋"/>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项目名称：群众经费项目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w:t>
      </w:r>
      <w:r>
        <w:rPr>
          <w:rFonts w:ascii="黑体" w:hAnsi="黑体" w:eastAsia="黑体" w:cs="宋体"/>
          <w:kern w:val="0"/>
          <w:sz w:val="32"/>
          <w:szCs w:val="32"/>
        </w:rPr>
        <w:t>2018</w:t>
      </w:r>
      <w:r>
        <w:rPr>
          <w:rFonts w:hint="eastAsia" w:ascii="黑体" w:hAnsi="黑体" w:eastAsia="黑体" w:cs="宋体"/>
          <w:kern w:val="0"/>
          <w:sz w:val="32"/>
          <w:szCs w:val="32"/>
        </w:rPr>
        <w:t>年</w:t>
      </w:r>
      <w:r>
        <w:rPr>
          <w:rFonts w:ascii="黑体" w:hAnsi="黑体" w:eastAsia="黑体" w:cs="宋体"/>
          <w:kern w:val="0"/>
          <w:sz w:val="32"/>
          <w:szCs w:val="32"/>
        </w:rPr>
        <w:t>1</w:t>
      </w:r>
      <w:r>
        <w:rPr>
          <w:rFonts w:hint="eastAsia" w:ascii="黑体" w:hAnsi="黑体" w:eastAsia="黑体" w:cs="宋体"/>
          <w:kern w:val="0"/>
          <w:sz w:val="32"/>
          <w:szCs w:val="32"/>
        </w:rPr>
        <w:t>2月</w:t>
      </w:r>
      <w:r>
        <w:rPr>
          <w:rFonts w:ascii="黑体" w:hAnsi="黑体" w:eastAsia="黑体" w:cs="宋体"/>
          <w:kern w:val="0"/>
          <w:sz w:val="32"/>
          <w:szCs w:val="32"/>
        </w:rPr>
        <w:t>2</w:t>
      </w:r>
      <w:r>
        <w:rPr>
          <w:rFonts w:hint="eastAsia" w:ascii="黑体" w:hAnsi="黑体" w:eastAsia="黑体" w:cs="宋体"/>
          <w:kern w:val="0"/>
          <w:sz w:val="32"/>
          <w:szCs w:val="32"/>
        </w:rPr>
        <w:t>5日</w:t>
      </w:r>
    </w:p>
    <w:p>
      <w:pPr>
        <w:spacing w:line="540" w:lineRule="exact"/>
        <w:jc w:val="center"/>
        <w:rPr>
          <w:rFonts w:hAnsi="宋体" w:eastAsia="仿宋_GB2312" w:cs="宋体"/>
          <w:kern w:val="0"/>
          <w:sz w:val="30"/>
          <w:szCs w:val="30"/>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8个行政村；全乡共有农牧民</w:t>
      </w:r>
      <w:r>
        <w:rPr>
          <w:rFonts w:ascii="仿宋_GB2312" w:hAnsi="仿宋_GB2312" w:eastAsia="仿宋_GB2312" w:cs="仿宋_GB2312"/>
          <w:kern w:val="0"/>
          <w:sz w:val="32"/>
          <w:szCs w:val="32"/>
          <w:u w:color="000000"/>
          <w:lang w:val="zh-TW" w:eastAsia="zh-TW"/>
        </w:rPr>
        <w:t>25682</w:t>
      </w:r>
      <w:r>
        <w:rPr>
          <w:rFonts w:hint="eastAsia" w:ascii="仿宋_GB2312" w:hAnsi="仿宋_GB2312" w:eastAsia="仿宋_GB2312" w:cs="仿宋_GB2312"/>
          <w:kern w:val="0"/>
          <w:sz w:val="32"/>
          <w:szCs w:val="32"/>
          <w:u w:color="000000"/>
          <w:lang w:val="zh-TW" w:eastAsia="zh-TW"/>
        </w:rPr>
        <w:t>多人，农户</w:t>
      </w:r>
      <w:r>
        <w:rPr>
          <w:rFonts w:ascii="仿宋_GB2312" w:hAnsi="仿宋_GB2312" w:eastAsia="仿宋_GB2312" w:cs="仿宋_GB2312"/>
          <w:kern w:val="0"/>
          <w:sz w:val="32"/>
          <w:szCs w:val="32"/>
          <w:u w:color="000000"/>
          <w:lang w:val="zh-TW" w:eastAsia="zh-TW"/>
        </w:rPr>
        <w:t>5771</w:t>
      </w:r>
      <w:r>
        <w:rPr>
          <w:rFonts w:hint="eastAsia" w:ascii="仿宋_GB2312" w:hAnsi="仿宋_GB2312" w:eastAsia="仿宋_GB2312" w:cs="仿宋_GB2312"/>
          <w:kern w:val="0"/>
          <w:sz w:val="32"/>
          <w:szCs w:val="32"/>
          <w:u w:color="000000"/>
          <w:lang w:val="zh-TW" w:eastAsia="zh-TW"/>
        </w:rPr>
        <w:t xml:space="preserve">户，主要以种植核桃、小麦、玉米、设施农业为主，是叶城县农业大乡。编制情况：编制81人，其中行政编制62人，参照公务员法管理人员1人，财政补助人员18人。 </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w:t>
      </w:r>
      <w:r>
        <w:rPr>
          <w:rFonts w:ascii="仿宋_GB2312" w:hAnsi="仿宋_GB2312" w:eastAsia="仿宋_GB2312" w:cs="仿宋_GB2312"/>
          <w:kern w:val="0"/>
          <w:sz w:val="32"/>
          <w:szCs w:val="32"/>
          <w:u w:color="000000"/>
          <w:lang w:val="zh-TW" w:eastAsia="zh-TW"/>
        </w:rPr>
        <w:t>2015</w:t>
      </w:r>
      <w:r>
        <w:rPr>
          <w:rFonts w:hint="eastAsia" w:ascii="仿宋_GB2312" w:hAnsi="仿宋_GB2312" w:eastAsia="仿宋_GB2312" w:cs="仿宋_GB2312"/>
          <w:kern w:val="0"/>
          <w:sz w:val="32"/>
          <w:szCs w:val="32"/>
          <w:u w:color="000000"/>
          <w:lang w:val="zh-TW" w:eastAsia="zh-TW"/>
        </w:rPr>
        <w:t>年</w:t>
      </w:r>
      <w:r>
        <w:rPr>
          <w:rFonts w:ascii="仿宋_GB2312" w:hAnsi="仿宋_GB2312" w:eastAsia="仿宋_GB2312" w:cs="仿宋_GB2312"/>
          <w:kern w:val="0"/>
          <w:sz w:val="32"/>
          <w:szCs w:val="32"/>
          <w:u w:color="000000"/>
          <w:lang w:val="zh-TW" w:eastAsia="zh-TW"/>
        </w:rPr>
        <w:t>10</w:t>
      </w:r>
      <w:r>
        <w:rPr>
          <w:rFonts w:hint="eastAsia" w:ascii="仿宋_GB2312" w:hAnsi="仿宋_GB2312" w:eastAsia="仿宋_GB2312" w:cs="仿宋_GB2312"/>
          <w:kern w:val="0"/>
          <w:sz w:val="32"/>
          <w:szCs w:val="32"/>
          <w:u w:color="000000"/>
          <w:lang w:val="zh-TW" w:eastAsia="zh-TW"/>
        </w:rPr>
        <w:t>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（二）项目预算绩效目标设定情况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ascii="仿宋_GB2312" w:hAnsi="仿宋_GB2312" w:eastAsia="仿宋_GB2312" w:cs="仿宋_GB2312"/>
          <w:bCs/>
          <w:kern w:val="0"/>
          <w:sz w:val="32"/>
          <w:szCs w:val="32"/>
          <w:u w:color="000000"/>
          <w:lang w:val="zh-TW" w:eastAsia="zh-TW"/>
        </w:rPr>
        <w:t>1</w:t>
      </w:r>
      <w:r>
        <w:rPr>
          <w:rFonts w:hint="eastAsia" w:ascii="仿宋_GB2312" w:hAnsi="仿宋_GB2312" w:eastAsia="仿宋_GB2312" w:cs="仿宋_GB2312"/>
          <w:bCs/>
          <w:kern w:val="0"/>
          <w:sz w:val="32"/>
          <w:szCs w:val="32"/>
          <w:u w:color="000000"/>
          <w:lang w:val="zh-TW" w:eastAsia="zh-TW"/>
        </w:rPr>
        <w:t>、项目预期目标及阶段性目标</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经费项目资金20万元，做好群众工作，确保群众工作落到实处，在全乡范围内开展各类群众工作，每次每户支出30元，每户一年4次的覆盖率，让困难群众的生活中感受到党和国家的关怀，更加感党恩。</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、项目基本性质</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本项目性质为延续项目，在年后通过绩效决算、结果应用等方式，该项目实际完成情况良好，项目为延续性安排。</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、项目用途及范围</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在全乡范围内开展各类工作，每次每户支出30元，每户一年4次的覆盖率，让困难群众的生活中感受到党和国家的关怀，更加感党恩。</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该项目依据县财经会，经费项目预算安排总额为20万元，其中财政资金20万元，2018年实际收到预算资金20万元。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spacing w:line="560" w:lineRule="exact"/>
        <w:ind w:left="181" w:leftChars="86"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本项目实际支付资金20万元，预算执行率100%。2018年群众工作保障户数</w:t>
      </w:r>
      <w:r>
        <w:rPr>
          <w:rFonts w:ascii="仿宋_GB2312" w:hAnsi="仿宋_GB2312" w:eastAsia="仿宋_GB2312" w:cs="仿宋_GB2312"/>
          <w:kern w:val="0"/>
          <w:sz w:val="32"/>
          <w:szCs w:val="32"/>
          <w:u w:color="000000"/>
          <w:lang w:val="zh-TW" w:eastAsia="zh-TW"/>
        </w:rPr>
        <w:t>1667户</w:t>
      </w:r>
      <w:r>
        <w:rPr>
          <w:rFonts w:hint="eastAsia" w:ascii="仿宋_GB2312" w:hAnsi="仿宋_GB2312" w:eastAsia="仿宋_GB2312" w:cs="仿宋_GB2312"/>
          <w:kern w:val="0"/>
          <w:sz w:val="32"/>
          <w:szCs w:val="32"/>
          <w:u w:color="000000"/>
          <w:lang w:val="zh-TW" w:eastAsia="zh-TW"/>
        </w:rPr>
        <w:t>，每户每次30元，每户一年4次的覆盖率，让困难群众的生活中感受到党和国家的关怀，更加感党恩。</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spacing w:line="560" w:lineRule="exact"/>
        <w:ind w:left="181" w:leftChars="86"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乌吉热克乡人民政府</w:t>
      </w:r>
      <w:r>
        <w:rPr>
          <w:rFonts w:hint="eastAsia" w:ascii="仿宋_GB2312" w:hAnsi="仿宋_GB2312" w:eastAsia="仿宋_GB2312" w:cs="仿宋_GB2312"/>
          <w:kern w:val="0"/>
          <w:sz w:val="32"/>
          <w:szCs w:val="32"/>
          <w:u w:color="000000"/>
          <w:lang w:val="zh-TW" w:eastAsia="zh-TW"/>
        </w:rPr>
        <w:t>“经费”经费</w:t>
      </w:r>
      <w:r>
        <w:rPr>
          <w:rFonts w:hint="eastAsia" w:ascii="仿宋_GB2312" w:hAnsi="仿宋_GB2312" w:eastAsia="仿宋_GB2312" w:cs="仿宋_GB2312"/>
          <w:bCs/>
          <w:kern w:val="0"/>
          <w:sz w:val="32"/>
          <w:szCs w:val="32"/>
          <w:u w:color="000000"/>
          <w:lang w:val="zh-TW" w:eastAsia="zh-TW"/>
        </w:rPr>
        <w:t>项目属于群众经费项目</w:t>
      </w:r>
      <w:r>
        <w:rPr>
          <w:rFonts w:ascii="仿宋_GB2312" w:hAnsi="仿宋_GB2312" w:eastAsia="仿宋_GB2312" w:cs="仿宋_GB2312"/>
          <w:bCs/>
          <w:kern w:val="0"/>
          <w:sz w:val="32"/>
          <w:szCs w:val="32"/>
          <w:u w:color="000000"/>
          <w:lang w:val="zh-TW" w:eastAsia="zh-TW"/>
        </w:rPr>
        <w:t>,</w:t>
      </w:r>
      <w:r>
        <w:rPr>
          <w:rFonts w:hint="eastAsia" w:ascii="仿宋_GB2312" w:hAnsi="仿宋_GB2312" w:eastAsia="仿宋_GB2312" w:cs="仿宋_GB2312"/>
          <w:bCs/>
          <w:kern w:val="0"/>
          <w:sz w:val="32"/>
          <w:szCs w:val="32"/>
          <w:u w:color="000000"/>
          <w:lang w:val="zh-TW" w:eastAsia="zh-TW"/>
        </w:rPr>
        <w:t>不用招标</w:t>
      </w:r>
      <w:r>
        <w:rPr>
          <w:rFonts w:ascii="仿宋_GB2312" w:hAnsi="仿宋_GB2312" w:eastAsia="仿宋_GB2312" w:cs="仿宋_GB2312"/>
          <w:bCs/>
          <w:kern w:val="0"/>
          <w:sz w:val="32"/>
          <w:szCs w:val="32"/>
          <w:u w:color="000000"/>
          <w:lang w:val="zh-TW" w:eastAsia="zh-TW"/>
        </w:rPr>
        <w:t>,</w:t>
      </w:r>
      <w:r>
        <w:rPr>
          <w:rFonts w:hint="eastAsia" w:ascii="仿宋_GB2312" w:hAnsi="仿宋_GB2312" w:eastAsia="仿宋_GB2312" w:cs="仿宋_GB2312"/>
          <w:bCs/>
          <w:kern w:val="0"/>
          <w:sz w:val="32"/>
          <w:szCs w:val="32"/>
          <w:u w:color="000000"/>
          <w:lang w:val="zh-TW" w:eastAsia="zh-TW"/>
        </w:rPr>
        <w:t>由本单位自行组织实施。实施过程均按照本单位制定的管理制度执行。本项目不存在调整情况。本项目不存在检查验收程序。</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乌吉热克乡人民政府</w:t>
      </w:r>
      <w:r>
        <w:rPr>
          <w:rFonts w:hint="eastAsia" w:ascii="仿宋_GB2312" w:hAnsi="仿宋_GB2312" w:eastAsia="仿宋_GB2312" w:cs="仿宋_GB2312"/>
          <w:kern w:val="0"/>
          <w:sz w:val="32"/>
          <w:szCs w:val="32"/>
          <w:u w:color="000000"/>
          <w:lang w:val="zh-TW" w:eastAsia="zh-TW"/>
        </w:rPr>
        <w:t>“经费”经费支出过程中，根据《基本预算支出管理办法》等，项目支出严格遵守相关法律法规和业务管理规定，支出资料齐全并及时归档。已建立《基本预算支出日常检查监督检查机制》，不定期对基本支出进度情况进行督导检查，对检查过程中发现的问题及时督促整改，确保</w:t>
      </w:r>
      <w:bookmarkStart w:id="0" w:name="_Hlk532984388"/>
      <w:r>
        <w:rPr>
          <w:rFonts w:hint="eastAsia" w:ascii="仿宋_GB2312" w:hAnsi="仿宋_GB2312" w:eastAsia="仿宋_GB2312" w:cs="仿宋_GB2312"/>
          <w:kern w:val="0"/>
          <w:sz w:val="32"/>
          <w:szCs w:val="32"/>
          <w:u w:color="000000"/>
          <w:lang w:val="zh-TW" w:eastAsia="zh-TW"/>
        </w:rPr>
        <w:t>基本支出</w:t>
      </w:r>
      <w:bookmarkEnd w:id="0"/>
      <w:r>
        <w:rPr>
          <w:rFonts w:hint="eastAsia" w:ascii="仿宋_GB2312" w:hAnsi="仿宋_GB2312" w:eastAsia="仿宋_GB2312" w:cs="仿宋_GB2312"/>
          <w:kern w:val="0"/>
          <w:sz w:val="32"/>
          <w:szCs w:val="32"/>
          <w:u w:color="000000"/>
          <w:lang w:val="zh-TW" w:eastAsia="zh-TW"/>
        </w:rPr>
        <w:t>有效、高质量的完成。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个，二级指标8个，三级指标8个，其中已完成三级指标8个，指标完成率为100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。根据年初设定的绩效目标，此项目自评得分为92分。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该经费项目</w:t>
      </w:r>
      <w:r>
        <w:rPr>
          <w:rFonts w:hint="eastAsia" w:ascii="仿宋_GB2312" w:hAnsi="仿宋_GB2312" w:eastAsia="仿宋_GB2312" w:cs="仿宋_GB2312"/>
          <w:kern w:val="0"/>
          <w:sz w:val="32"/>
          <w:szCs w:val="32"/>
          <w:u w:color="000000"/>
          <w:lang w:val="zh-TW" w:eastAsia="zh-TW"/>
        </w:rPr>
        <w:t>保障范围</w:t>
      </w:r>
      <w:r>
        <w:rPr>
          <w:rFonts w:ascii="仿宋_GB2312" w:hAnsi="仿宋_GB2312" w:eastAsia="仿宋_GB2312" w:cs="仿宋_GB2312"/>
          <w:kern w:val="0"/>
          <w:sz w:val="32"/>
          <w:szCs w:val="32"/>
          <w:u w:color="000000"/>
          <w:lang w:val="zh-TW" w:eastAsia="zh-TW"/>
        </w:rPr>
        <w:t>1667</w:t>
      </w:r>
      <w:r>
        <w:rPr>
          <w:rFonts w:hint="eastAsia" w:ascii="仿宋_GB2312" w:hAnsi="仿宋_GB2312" w:eastAsia="仿宋_GB2312" w:cs="仿宋_GB2312"/>
          <w:kern w:val="0"/>
          <w:sz w:val="32"/>
          <w:szCs w:val="32"/>
          <w:u w:color="000000"/>
          <w:lang w:val="zh-TW" w:eastAsia="zh-TW"/>
        </w:rPr>
        <w:t>户；贫困户每户覆盖次数4次。</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2018年底该项目已全部实施完成。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该经费项目</w:t>
      </w:r>
      <w:r>
        <w:rPr>
          <w:rFonts w:hint="eastAsia" w:ascii="仿宋_GB2312" w:hAnsi="仿宋_GB2312" w:eastAsia="仿宋_GB2312" w:cs="仿宋_GB2312"/>
          <w:kern w:val="0"/>
          <w:sz w:val="32"/>
          <w:szCs w:val="32"/>
          <w:u w:color="000000"/>
          <w:lang w:val="zh-TW" w:eastAsia="zh-TW"/>
        </w:rPr>
        <w:t>走访覆盖率98%，实际完成情况已完成，</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2018年年度自评时，该项目完成质量良好。</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该经费项目保障资金</w:t>
      </w:r>
      <w:r>
        <w:rPr>
          <w:rFonts w:hint="eastAsia" w:ascii="仿宋_GB2312" w:hAnsi="仿宋_GB2312" w:eastAsia="仿宋_GB2312" w:cs="仿宋_GB2312"/>
          <w:kern w:val="0"/>
          <w:sz w:val="32"/>
          <w:szCs w:val="32"/>
          <w:u w:color="000000"/>
          <w:lang w:val="zh-TW" w:eastAsia="zh-TW"/>
        </w:rPr>
        <w:t>发放及时率100%，</w:t>
      </w:r>
      <w:bookmarkStart w:id="1" w:name="_GoBack"/>
      <w:bookmarkEnd w:id="1"/>
      <w:r>
        <w:rPr>
          <w:rFonts w:hint="eastAsia" w:ascii="仿宋_GB2312" w:hAnsi="仿宋_GB2312" w:eastAsia="仿宋_GB2312" w:cs="仿宋_GB2312"/>
          <w:kern w:val="0"/>
          <w:sz w:val="32"/>
          <w:szCs w:val="32"/>
          <w:u w:color="000000"/>
          <w:lang w:val="zh-TW" w:eastAsia="zh-TW"/>
        </w:rPr>
        <w:t>完成率100%。</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该经费项目</w:t>
      </w:r>
      <w:r>
        <w:rPr>
          <w:rFonts w:hint="eastAsia" w:ascii="仿宋_GB2312" w:hAnsi="仿宋_GB2312" w:eastAsia="仿宋_GB2312" w:cs="仿宋_GB2312"/>
          <w:kern w:val="0"/>
          <w:sz w:val="32"/>
          <w:szCs w:val="32"/>
          <w:u w:color="000000"/>
          <w:lang w:val="zh-TW" w:eastAsia="zh-TW"/>
        </w:rPr>
        <w:t>每户支出成本金额30元/次，</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2018年底该项目已全部实施完成。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该经费项目为贫困户增加收入</w:t>
      </w:r>
      <w:r>
        <w:rPr>
          <w:rFonts w:hint="eastAsia" w:ascii="仿宋_GB2312" w:hAnsi="仿宋_GB2312" w:eastAsia="仿宋_GB2312" w:cs="仿宋_GB2312"/>
          <w:kern w:val="0"/>
          <w:sz w:val="32"/>
          <w:szCs w:val="32"/>
          <w:u w:color="000000"/>
          <w:lang w:val="zh-TW" w:eastAsia="zh-TW"/>
        </w:rPr>
        <w:t>100元，</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2018年底该项目经济效益指标已完成。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该经费项目有效提高贫困户脱贫能力，</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2018年底</w:t>
      </w:r>
      <w:r>
        <w:rPr>
          <w:rFonts w:ascii="仿宋_GB2312" w:hAnsi="仿宋_GB2312" w:eastAsia="仿宋_GB2312" w:cs="仿宋_GB2312"/>
          <w:kern w:val="0"/>
          <w:sz w:val="32"/>
          <w:szCs w:val="32"/>
          <w:u w:color="000000"/>
          <w:lang w:val="zh-TW" w:eastAsia="zh-TW"/>
        </w:rPr>
        <w:t>社会效益指标已完成</w:t>
      </w:r>
      <w:r>
        <w:rPr>
          <w:rFonts w:hint="eastAsia" w:ascii="仿宋_GB2312" w:hAnsi="仿宋_GB2312" w:eastAsia="仿宋_GB2312" w:cs="仿宋_GB2312"/>
          <w:kern w:val="0"/>
          <w:sz w:val="32"/>
          <w:szCs w:val="32"/>
          <w:u w:color="000000"/>
          <w:lang w:val="zh-TW" w:eastAsia="zh-TW"/>
        </w:rPr>
        <w:t>。</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该经费项目</w:t>
      </w:r>
      <w:r>
        <w:rPr>
          <w:rFonts w:hint="eastAsia" w:ascii="仿宋_GB2312" w:hAnsi="仿宋_GB2312" w:eastAsia="仿宋_GB2312" w:cs="仿宋_GB2312"/>
          <w:kern w:val="0"/>
          <w:sz w:val="32"/>
          <w:szCs w:val="32"/>
          <w:u w:color="000000"/>
          <w:lang w:val="zh-TW" w:eastAsia="zh-TW"/>
        </w:rPr>
        <w:t>无生态效益。</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该经费项目明显改善群众工作基础，持续提升全乡脱贫攻坚战。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按计划完成项目实施，已做满意度调查问卷，群众满意率达98%，服务对象满意度指标完成。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2018</w:t>
      </w:r>
      <w:r>
        <w:rPr>
          <w:rFonts w:hint="eastAsia" w:ascii="仿宋_GB2312" w:hAnsi="仿宋_GB2312" w:eastAsia="仿宋_GB2312" w:cs="仿宋_GB2312"/>
          <w:kern w:val="0"/>
          <w:sz w:val="32"/>
          <w:szCs w:val="32"/>
          <w:u w:color="000000"/>
          <w:lang w:val="zh-TW" w:eastAsia="zh-TW"/>
        </w:rPr>
        <w:t>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乌吉热克乡人民政府经费项目中，顺利完成支出任务，在下一年度工作中，严格执行各项支出，确保工作取得实效。</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、主要经验及做法：乌吉热克乡人民政府在</w:t>
      </w:r>
      <w:r>
        <w:rPr>
          <w:rFonts w:ascii="仿宋_GB2312" w:hAnsi="仿宋_GB2312" w:eastAsia="仿宋_GB2312" w:cs="仿宋_GB2312"/>
          <w:kern w:val="0"/>
          <w:sz w:val="32"/>
          <w:szCs w:val="32"/>
          <w:u w:color="000000"/>
          <w:lang w:val="zh-TW" w:eastAsia="zh-TW"/>
        </w:rPr>
        <w:t>2018</w:t>
      </w:r>
      <w:r>
        <w:rPr>
          <w:rFonts w:hint="eastAsia" w:ascii="仿宋_GB2312" w:hAnsi="仿宋_GB2312" w:eastAsia="仿宋_GB2312" w:cs="仿宋_GB2312"/>
          <w:kern w:val="0"/>
          <w:sz w:val="32"/>
          <w:szCs w:val="32"/>
          <w:u w:color="000000"/>
          <w:lang w:val="zh-TW" w:eastAsia="zh-TW"/>
        </w:rPr>
        <w:t>年经费项目中，严把支出关，确保了项目资金用在关键地方，有效地杜绝了挤占挪用、虚报冒领等套取财政资金违规行为。</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、存在的问题：活动开展次数较多，资金分散度太广，不能及时将资金使用。</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、建议：加强财务人员业务培训，提高工作效率；单位加强财务管理制度的完善，不断提高单位财务的规范管理。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乌吉热克乡人民政府基本支出的使用效率和效果，基本支出管理过程是否规范，是否完成了预期绩效目标等。同时，通过开展自我评价来总结经验和教训，为顺利持续实施喀什地区叶城县乌吉热克乡人民政府专项支出的工作奠定基础。</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《项目支出绩效目标自评表》</w:t>
      </w:r>
    </w:p>
    <w:p>
      <w:pPr>
        <w:spacing w:line="540" w:lineRule="exact"/>
        <w:ind w:firstLine="567"/>
        <w:rPr>
          <w:rStyle w:val="18"/>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2</w:t>
    </w:r>
    <w:r>
      <w:rPr>
        <w:lang w:val="zh-CN"/>
      </w:rP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65E7"/>
    <w:rsid w:val="0003700E"/>
    <w:rsid w:val="00056465"/>
    <w:rsid w:val="000570FD"/>
    <w:rsid w:val="00063EA8"/>
    <w:rsid w:val="00090CB1"/>
    <w:rsid w:val="0009108E"/>
    <w:rsid w:val="0009798F"/>
    <w:rsid w:val="000A33CD"/>
    <w:rsid w:val="000C0ABA"/>
    <w:rsid w:val="000C28B8"/>
    <w:rsid w:val="000C478E"/>
    <w:rsid w:val="000E2193"/>
    <w:rsid w:val="0010783A"/>
    <w:rsid w:val="00113E94"/>
    <w:rsid w:val="00121AE4"/>
    <w:rsid w:val="00146AAD"/>
    <w:rsid w:val="00156080"/>
    <w:rsid w:val="0016250F"/>
    <w:rsid w:val="00171FA2"/>
    <w:rsid w:val="00174BD1"/>
    <w:rsid w:val="00182B66"/>
    <w:rsid w:val="001919DB"/>
    <w:rsid w:val="00197961"/>
    <w:rsid w:val="001B3A40"/>
    <w:rsid w:val="001C08CB"/>
    <w:rsid w:val="001F7B50"/>
    <w:rsid w:val="00207F7F"/>
    <w:rsid w:val="00221A3B"/>
    <w:rsid w:val="00277371"/>
    <w:rsid w:val="002A1456"/>
    <w:rsid w:val="002A792F"/>
    <w:rsid w:val="002A7C2D"/>
    <w:rsid w:val="002B6441"/>
    <w:rsid w:val="002E2F79"/>
    <w:rsid w:val="002F2C36"/>
    <w:rsid w:val="00301461"/>
    <w:rsid w:val="003139E6"/>
    <w:rsid w:val="00325F53"/>
    <w:rsid w:val="0033325B"/>
    <w:rsid w:val="00342445"/>
    <w:rsid w:val="00360A8D"/>
    <w:rsid w:val="003633C6"/>
    <w:rsid w:val="0037120D"/>
    <w:rsid w:val="003A7313"/>
    <w:rsid w:val="003C6ADD"/>
    <w:rsid w:val="003E0DE6"/>
    <w:rsid w:val="00401C83"/>
    <w:rsid w:val="004366A8"/>
    <w:rsid w:val="00445DD9"/>
    <w:rsid w:val="00450C97"/>
    <w:rsid w:val="004553D2"/>
    <w:rsid w:val="00475B3E"/>
    <w:rsid w:val="004934E0"/>
    <w:rsid w:val="004A2996"/>
    <w:rsid w:val="004B45FB"/>
    <w:rsid w:val="004C5435"/>
    <w:rsid w:val="004C5C3E"/>
    <w:rsid w:val="004F062C"/>
    <w:rsid w:val="004F2420"/>
    <w:rsid w:val="005018A9"/>
    <w:rsid w:val="00502BA7"/>
    <w:rsid w:val="00504ED6"/>
    <w:rsid w:val="0050604B"/>
    <w:rsid w:val="005162F1"/>
    <w:rsid w:val="005264A6"/>
    <w:rsid w:val="00535153"/>
    <w:rsid w:val="00537153"/>
    <w:rsid w:val="00554F82"/>
    <w:rsid w:val="0056390D"/>
    <w:rsid w:val="005719B0"/>
    <w:rsid w:val="005A24B5"/>
    <w:rsid w:val="005A2CD7"/>
    <w:rsid w:val="005D10D6"/>
    <w:rsid w:val="005D1690"/>
    <w:rsid w:val="00624F2D"/>
    <w:rsid w:val="00626F99"/>
    <w:rsid w:val="006378D5"/>
    <w:rsid w:val="0065497C"/>
    <w:rsid w:val="00657EA5"/>
    <w:rsid w:val="00662852"/>
    <w:rsid w:val="006F068F"/>
    <w:rsid w:val="006F2ACF"/>
    <w:rsid w:val="006F719B"/>
    <w:rsid w:val="007068E6"/>
    <w:rsid w:val="00762040"/>
    <w:rsid w:val="00762A90"/>
    <w:rsid w:val="00763897"/>
    <w:rsid w:val="00763F2F"/>
    <w:rsid w:val="00767C7A"/>
    <w:rsid w:val="00781ACD"/>
    <w:rsid w:val="0079317B"/>
    <w:rsid w:val="007B2646"/>
    <w:rsid w:val="007B4B3E"/>
    <w:rsid w:val="007D2C61"/>
    <w:rsid w:val="007F4052"/>
    <w:rsid w:val="00803B79"/>
    <w:rsid w:val="00805C6E"/>
    <w:rsid w:val="00815352"/>
    <w:rsid w:val="00817A01"/>
    <w:rsid w:val="00836508"/>
    <w:rsid w:val="00855E3A"/>
    <w:rsid w:val="00875FCD"/>
    <w:rsid w:val="0089041F"/>
    <w:rsid w:val="008A71B0"/>
    <w:rsid w:val="008B07D4"/>
    <w:rsid w:val="008D06CF"/>
    <w:rsid w:val="009027E1"/>
    <w:rsid w:val="009063ED"/>
    <w:rsid w:val="00922CB9"/>
    <w:rsid w:val="00931483"/>
    <w:rsid w:val="00936818"/>
    <w:rsid w:val="0097769F"/>
    <w:rsid w:val="009C075F"/>
    <w:rsid w:val="009D70CF"/>
    <w:rsid w:val="009E2A62"/>
    <w:rsid w:val="009E5CD9"/>
    <w:rsid w:val="00A05B17"/>
    <w:rsid w:val="00A06F0B"/>
    <w:rsid w:val="00A26421"/>
    <w:rsid w:val="00A34F26"/>
    <w:rsid w:val="00A4293B"/>
    <w:rsid w:val="00A46158"/>
    <w:rsid w:val="00A53063"/>
    <w:rsid w:val="00A67D50"/>
    <w:rsid w:val="00A8351D"/>
    <w:rsid w:val="00A8691A"/>
    <w:rsid w:val="00AA0B8F"/>
    <w:rsid w:val="00AB0D71"/>
    <w:rsid w:val="00AB300D"/>
    <w:rsid w:val="00AB7250"/>
    <w:rsid w:val="00AC1946"/>
    <w:rsid w:val="00AD1F02"/>
    <w:rsid w:val="00AD5CD6"/>
    <w:rsid w:val="00AD7AE5"/>
    <w:rsid w:val="00B27440"/>
    <w:rsid w:val="00B40063"/>
    <w:rsid w:val="00B41F61"/>
    <w:rsid w:val="00B730D2"/>
    <w:rsid w:val="00B84D96"/>
    <w:rsid w:val="00B95C2D"/>
    <w:rsid w:val="00BA2F95"/>
    <w:rsid w:val="00BA46E6"/>
    <w:rsid w:val="00BD1CF0"/>
    <w:rsid w:val="00C07422"/>
    <w:rsid w:val="00C53D6F"/>
    <w:rsid w:val="00C56C72"/>
    <w:rsid w:val="00C65B41"/>
    <w:rsid w:val="00C705E1"/>
    <w:rsid w:val="00C84117"/>
    <w:rsid w:val="00CA6457"/>
    <w:rsid w:val="00CA7484"/>
    <w:rsid w:val="00CB4822"/>
    <w:rsid w:val="00CD3ADF"/>
    <w:rsid w:val="00CE0DA8"/>
    <w:rsid w:val="00CF28CE"/>
    <w:rsid w:val="00CF5DA6"/>
    <w:rsid w:val="00D06208"/>
    <w:rsid w:val="00D17F2E"/>
    <w:rsid w:val="00D2259B"/>
    <w:rsid w:val="00D30354"/>
    <w:rsid w:val="00D4351F"/>
    <w:rsid w:val="00D77999"/>
    <w:rsid w:val="00D87A4D"/>
    <w:rsid w:val="00D930BD"/>
    <w:rsid w:val="00DF42A0"/>
    <w:rsid w:val="00DF5141"/>
    <w:rsid w:val="00E20354"/>
    <w:rsid w:val="00E50F3F"/>
    <w:rsid w:val="00E57057"/>
    <w:rsid w:val="00E769FE"/>
    <w:rsid w:val="00E84CBF"/>
    <w:rsid w:val="00EA2CBE"/>
    <w:rsid w:val="00EB3ADB"/>
    <w:rsid w:val="00EE3268"/>
    <w:rsid w:val="00EF22F9"/>
    <w:rsid w:val="00F32FEE"/>
    <w:rsid w:val="00F7578E"/>
    <w:rsid w:val="00FA3A56"/>
    <w:rsid w:val="00FA7730"/>
    <w:rsid w:val="00FB10BB"/>
    <w:rsid w:val="00FD2550"/>
    <w:rsid w:val="00FD62FE"/>
    <w:rsid w:val="00FE5BE3"/>
    <w:rsid w:val="35A77F4D"/>
    <w:rsid w:val="38A93886"/>
    <w:rsid w:val="491A25DA"/>
    <w:rsid w:val="5EA15D0B"/>
    <w:rsid w:val="6CBA7003"/>
    <w:rsid w:val="70292FE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29"/>
    <w:semiHidden/>
    <w:qFormat/>
    <w:uiPriority w:val="99"/>
    <w:rPr>
      <w:sz w:val="18"/>
      <w:szCs w:val="18"/>
    </w:rPr>
  </w:style>
  <w:style w:type="paragraph" w:styleId="12">
    <w:name w:val="footer"/>
    <w:basedOn w:val="1"/>
    <w:link w:val="30"/>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31"/>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99"/>
    <w:pPr>
      <w:widowControl/>
      <w:spacing w:after="60"/>
      <w:jc w:val="center"/>
      <w:outlineLvl w:val="1"/>
    </w:pPr>
    <w:rPr>
      <w:rFonts w:ascii="Cambria" w:hAnsi="Cambria"/>
      <w:kern w:val="0"/>
      <w:sz w:val="24"/>
    </w:rPr>
  </w:style>
  <w:style w:type="paragraph" w:styleId="15">
    <w:name w:val="Title"/>
    <w:basedOn w:val="1"/>
    <w:next w:val="1"/>
    <w:link w:val="33"/>
    <w:qFormat/>
    <w:uiPriority w:val="99"/>
    <w:pPr>
      <w:widowControl/>
      <w:spacing w:before="240" w:after="60"/>
      <w:jc w:val="center"/>
      <w:outlineLvl w:val="0"/>
    </w:pPr>
    <w:rPr>
      <w:rFonts w:ascii="Cambria" w:hAnsi="Cambria"/>
      <w:b/>
      <w:bCs/>
      <w:kern w:val="28"/>
      <w:sz w:val="32"/>
      <w:szCs w:val="32"/>
    </w:rPr>
  </w:style>
  <w:style w:type="character" w:styleId="18">
    <w:name w:val="Strong"/>
    <w:basedOn w:val="17"/>
    <w:qFormat/>
    <w:uiPriority w:val="99"/>
    <w:rPr>
      <w:rFonts w:cs="Times New Roman"/>
      <w:b/>
      <w:bCs/>
    </w:rPr>
  </w:style>
  <w:style w:type="character" w:styleId="19">
    <w:name w:val="Emphasis"/>
    <w:basedOn w:val="17"/>
    <w:qFormat/>
    <w:uiPriority w:val="99"/>
    <w:rPr>
      <w:rFonts w:ascii="Calibri" w:hAnsi="Calibri" w:cs="Times New Roman"/>
      <w:b/>
      <w:i/>
      <w:iCs/>
    </w:rPr>
  </w:style>
  <w:style w:type="character" w:customStyle="1" w:styleId="20">
    <w:name w:val="标题 1 Char"/>
    <w:basedOn w:val="17"/>
    <w:link w:val="2"/>
    <w:qFormat/>
    <w:locked/>
    <w:uiPriority w:val="99"/>
    <w:rPr>
      <w:rFonts w:ascii="Cambria" w:hAnsi="Cambria" w:eastAsia="宋体" w:cs="Times New Roman"/>
      <w:b/>
      <w:bCs/>
      <w:kern w:val="32"/>
      <w:sz w:val="32"/>
      <w:szCs w:val="32"/>
    </w:rPr>
  </w:style>
  <w:style w:type="character" w:customStyle="1" w:styleId="21">
    <w:name w:val="标题 2 Char"/>
    <w:basedOn w:val="17"/>
    <w:link w:val="3"/>
    <w:semiHidden/>
    <w:qFormat/>
    <w:locked/>
    <w:uiPriority w:val="99"/>
    <w:rPr>
      <w:rFonts w:ascii="Cambria" w:hAnsi="Cambria" w:eastAsia="宋体" w:cs="Times New Roman"/>
      <w:b/>
      <w:bCs/>
      <w:i/>
      <w:iCs/>
      <w:sz w:val="28"/>
      <w:szCs w:val="28"/>
    </w:rPr>
  </w:style>
  <w:style w:type="character" w:customStyle="1" w:styleId="22">
    <w:name w:val="标题 3 Char"/>
    <w:basedOn w:val="17"/>
    <w:link w:val="4"/>
    <w:semiHidden/>
    <w:locked/>
    <w:uiPriority w:val="99"/>
    <w:rPr>
      <w:rFonts w:ascii="Cambria" w:hAnsi="Cambria" w:eastAsia="宋体" w:cs="Times New Roman"/>
      <w:b/>
      <w:bCs/>
      <w:sz w:val="26"/>
      <w:szCs w:val="26"/>
    </w:rPr>
  </w:style>
  <w:style w:type="character" w:customStyle="1" w:styleId="23">
    <w:name w:val="标题 4 Char"/>
    <w:basedOn w:val="17"/>
    <w:link w:val="5"/>
    <w:semiHidden/>
    <w:qFormat/>
    <w:locked/>
    <w:uiPriority w:val="99"/>
    <w:rPr>
      <w:rFonts w:cs="Times New Roman"/>
      <w:b/>
      <w:bCs/>
      <w:sz w:val="28"/>
      <w:szCs w:val="28"/>
    </w:rPr>
  </w:style>
  <w:style w:type="character" w:customStyle="1" w:styleId="24">
    <w:name w:val="标题 5 Char"/>
    <w:basedOn w:val="17"/>
    <w:link w:val="6"/>
    <w:semiHidden/>
    <w:qFormat/>
    <w:locked/>
    <w:uiPriority w:val="99"/>
    <w:rPr>
      <w:rFonts w:cs="Times New Roman"/>
      <w:b/>
      <w:bCs/>
      <w:i/>
      <w:iCs/>
      <w:sz w:val="26"/>
      <w:szCs w:val="26"/>
    </w:rPr>
  </w:style>
  <w:style w:type="character" w:customStyle="1" w:styleId="25">
    <w:name w:val="标题 6 Char"/>
    <w:basedOn w:val="17"/>
    <w:link w:val="7"/>
    <w:semiHidden/>
    <w:qFormat/>
    <w:locked/>
    <w:uiPriority w:val="99"/>
    <w:rPr>
      <w:rFonts w:cs="Times New Roman"/>
      <w:b/>
      <w:bCs/>
    </w:rPr>
  </w:style>
  <w:style w:type="character" w:customStyle="1" w:styleId="26">
    <w:name w:val="标题 7 Char"/>
    <w:basedOn w:val="17"/>
    <w:link w:val="8"/>
    <w:semiHidden/>
    <w:qFormat/>
    <w:locked/>
    <w:uiPriority w:val="99"/>
    <w:rPr>
      <w:rFonts w:cs="Times New Roman"/>
      <w:sz w:val="24"/>
      <w:szCs w:val="24"/>
    </w:rPr>
  </w:style>
  <w:style w:type="character" w:customStyle="1" w:styleId="27">
    <w:name w:val="标题 8 Char"/>
    <w:basedOn w:val="17"/>
    <w:link w:val="9"/>
    <w:semiHidden/>
    <w:qFormat/>
    <w:locked/>
    <w:uiPriority w:val="99"/>
    <w:rPr>
      <w:rFonts w:cs="Times New Roman"/>
      <w:i/>
      <w:iCs/>
      <w:sz w:val="24"/>
      <w:szCs w:val="24"/>
    </w:rPr>
  </w:style>
  <w:style w:type="character" w:customStyle="1" w:styleId="28">
    <w:name w:val="标题 9 Char"/>
    <w:basedOn w:val="17"/>
    <w:link w:val="10"/>
    <w:semiHidden/>
    <w:qFormat/>
    <w:locked/>
    <w:uiPriority w:val="99"/>
    <w:rPr>
      <w:rFonts w:ascii="Cambria" w:hAnsi="Cambria" w:eastAsia="宋体" w:cs="Times New Roman"/>
    </w:rPr>
  </w:style>
  <w:style w:type="character" w:customStyle="1" w:styleId="29">
    <w:name w:val="批注框文本 Char"/>
    <w:basedOn w:val="17"/>
    <w:link w:val="11"/>
    <w:semiHidden/>
    <w:qFormat/>
    <w:locked/>
    <w:uiPriority w:val="99"/>
    <w:rPr>
      <w:rFonts w:ascii="Times New Roman" w:hAnsi="Times New Roman" w:eastAsia="宋体" w:cs="Times New Roman"/>
      <w:kern w:val="2"/>
      <w:sz w:val="18"/>
      <w:szCs w:val="18"/>
    </w:rPr>
  </w:style>
  <w:style w:type="character" w:customStyle="1" w:styleId="30">
    <w:name w:val="页脚 Char"/>
    <w:basedOn w:val="17"/>
    <w:link w:val="12"/>
    <w:qFormat/>
    <w:locked/>
    <w:uiPriority w:val="99"/>
    <w:rPr>
      <w:rFonts w:ascii="Calibri" w:hAnsi="Calibri" w:eastAsia="宋体" w:cs="Times New Roman"/>
      <w:kern w:val="2"/>
      <w:sz w:val="18"/>
      <w:szCs w:val="18"/>
    </w:rPr>
  </w:style>
  <w:style w:type="character" w:customStyle="1" w:styleId="31">
    <w:name w:val="页眉 Char"/>
    <w:basedOn w:val="17"/>
    <w:link w:val="13"/>
    <w:qFormat/>
    <w:locked/>
    <w:uiPriority w:val="99"/>
    <w:rPr>
      <w:rFonts w:ascii="Calibri" w:hAnsi="Calibri" w:eastAsia="宋体" w:cs="Times New Roman"/>
      <w:kern w:val="2"/>
      <w:sz w:val="18"/>
      <w:szCs w:val="18"/>
    </w:rPr>
  </w:style>
  <w:style w:type="character" w:customStyle="1" w:styleId="32">
    <w:name w:val="副标题 Char"/>
    <w:basedOn w:val="17"/>
    <w:link w:val="14"/>
    <w:locked/>
    <w:uiPriority w:val="99"/>
    <w:rPr>
      <w:rFonts w:ascii="Cambria" w:hAnsi="Cambria" w:eastAsia="宋体" w:cs="Times New Roman"/>
      <w:sz w:val="24"/>
      <w:szCs w:val="24"/>
    </w:rPr>
  </w:style>
  <w:style w:type="character" w:customStyle="1" w:styleId="33">
    <w:name w:val="标题 Char"/>
    <w:basedOn w:val="17"/>
    <w:link w:val="15"/>
    <w:locked/>
    <w:uiPriority w:val="99"/>
    <w:rPr>
      <w:rFonts w:ascii="Cambria" w:hAnsi="Cambria" w:eastAsia="宋体" w:cs="Times New Roman"/>
      <w:b/>
      <w:bCs/>
      <w:kern w:val="28"/>
      <w:sz w:val="32"/>
      <w:szCs w:val="32"/>
    </w:rPr>
  </w:style>
  <w:style w:type="paragraph" w:customStyle="1" w:styleId="34">
    <w:name w:val="无间隔1"/>
    <w:basedOn w:val="1"/>
    <w:qFormat/>
    <w:uiPriority w:val="99"/>
    <w:pPr>
      <w:widowControl/>
      <w:jc w:val="left"/>
    </w:pPr>
    <w:rPr>
      <w:rFonts w:ascii="Calibri" w:hAnsi="Calibri"/>
      <w:kern w:val="0"/>
      <w:sz w:val="24"/>
      <w:szCs w:val="32"/>
      <w:lang w:eastAsia="en-US"/>
    </w:rPr>
  </w:style>
  <w:style w:type="paragraph" w:customStyle="1" w:styleId="35">
    <w:name w:val="列出段落1"/>
    <w:basedOn w:val="1"/>
    <w:qFormat/>
    <w:uiPriority w:val="99"/>
    <w:pPr>
      <w:widowControl/>
      <w:ind w:left="720"/>
      <w:contextualSpacing/>
      <w:jc w:val="left"/>
    </w:pPr>
    <w:rPr>
      <w:rFonts w:ascii="Calibri" w:hAnsi="Calibri"/>
      <w:kern w:val="0"/>
      <w:sz w:val="24"/>
      <w:lang w:eastAsia="en-US"/>
    </w:rPr>
  </w:style>
  <w:style w:type="paragraph" w:customStyle="1" w:styleId="36">
    <w:name w:val="引用1"/>
    <w:basedOn w:val="1"/>
    <w:next w:val="1"/>
    <w:link w:val="37"/>
    <w:qFormat/>
    <w:uiPriority w:val="99"/>
    <w:pPr>
      <w:widowControl/>
      <w:jc w:val="left"/>
    </w:pPr>
    <w:rPr>
      <w:rFonts w:ascii="Calibri" w:hAnsi="Calibri"/>
      <w:i/>
      <w:kern w:val="0"/>
      <w:sz w:val="24"/>
    </w:rPr>
  </w:style>
  <w:style w:type="character" w:customStyle="1" w:styleId="37">
    <w:name w:val="Quote Char"/>
    <w:basedOn w:val="17"/>
    <w:link w:val="36"/>
    <w:locked/>
    <w:uiPriority w:val="99"/>
    <w:rPr>
      <w:rFonts w:cs="Times New Roman"/>
      <w:i/>
      <w:sz w:val="24"/>
      <w:szCs w:val="24"/>
    </w:rPr>
  </w:style>
  <w:style w:type="paragraph" w:customStyle="1" w:styleId="38">
    <w:name w:val="明显引用1"/>
    <w:basedOn w:val="1"/>
    <w:next w:val="1"/>
    <w:link w:val="39"/>
    <w:qFormat/>
    <w:uiPriority w:val="99"/>
    <w:pPr>
      <w:widowControl/>
      <w:ind w:left="720" w:right="720"/>
      <w:jc w:val="left"/>
    </w:pPr>
    <w:rPr>
      <w:rFonts w:ascii="Calibri" w:hAnsi="Calibri"/>
      <w:b/>
      <w:i/>
      <w:kern w:val="0"/>
      <w:sz w:val="24"/>
      <w:szCs w:val="22"/>
    </w:rPr>
  </w:style>
  <w:style w:type="character" w:customStyle="1" w:styleId="39">
    <w:name w:val="Intense Quote Char"/>
    <w:basedOn w:val="17"/>
    <w:link w:val="38"/>
    <w:qFormat/>
    <w:locked/>
    <w:uiPriority w:val="99"/>
    <w:rPr>
      <w:rFonts w:cs="Times New Roman"/>
      <w:b/>
      <w:i/>
      <w:sz w:val="24"/>
    </w:rPr>
  </w:style>
  <w:style w:type="character" w:customStyle="1" w:styleId="40">
    <w:name w:val="不明显强调1"/>
    <w:qFormat/>
    <w:uiPriority w:val="99"/>
    <w:rPr>
      <w:i/>
      <w:color w:val="5A5A5A"/>
    </w:rPr>
  </w:style>
  <w:style w:type="character" w:customStyle="1" w:styleId="41">
    <w:name w:val="明显强调1"/>
    <w:basedOn w:val="17"/>
    <w:qFormat/>
    <w:uiPriority w:val="99"/>
    <w:rPr>
      <w:rFonts w:cs="Times New Roman"/>
      <w:b/>
      <w:i/>
      <w:sz w:val="24"/>
      <w:szCs w:val="24"/>
      <w:u w:val="single"/>
    </w:rPr>
  </w:style>
  <w:style w:type="character" w:customStyle="1" w:styleId="42">
    <w:name w:val="不明显参考1"/>
    <w:basedOn w:val="17"/>
    <w:qFormat/>
    <w:uiPriority w:val="99"/>
    <w:rPr>
      <w:rFonts w:cs="Times New Roman"/>
      <w:sz w:val="24"/>
      <w:szCs w:val="24"/>
      <w:u w:val="single"/>
    </w:rPr>
  </w:style>
  <w:style w:type="character" w:customStyle="1" w:styleId="43">
    <w:name w:val="明显参考1"/>
    <w:basedOn w:val="17"/>
    <w:qFormat/>
    <w:uiPriority w:val="99"/>
    <w:rPr>
      <w:rFonts w:cs="Times New Roman"/>
      <w:b/>
      <w:sz w:val="24"/>
      <w:u w:val="single"/>
    </w:rPr>
  </w:style>
  <w:style w:type="character" w:customStyle="1" w:styleId="44">
    <w:name w:val="书籍标题1"/>
    <w:basedOn w:val="17"/>
    <w:qFormat/>
    <w:uiPriority w:val="99"/>
    <w:rPr>
      <w:rFonts w:ascii="Cambria" w:hAnsi="Cambria" w:eastAsia="宋体" w:cs="Times New Roman"/>
      <w:b/>
      <w:i/>
      <w:sz w:val="24"/>
      <w:szCs w:val="24"/>
    </w:rPr>
  </w:style>
  <w:style w:type="paragraph" w:customStyle="1" w:styleId="45">
    <w:name w:val="TOC 标题1"/>
    <w:basedOn w:val="2"/>
    <w:next w:val="1"/>
    <w:semiHidden/>
    <w:uiPriority w:val="99"/>
    <w:pPr>
      <w:outlineLvl w:val="9"/>
    </w:pPr>
    <w:rPr>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375</Words>
  <Characters>2142</Characters>
  <Lines>17</Lines>
  <Paragraphs>5</Paragraphs>
  <TotalTime>165</TotalTime>
  <ScaleCrop>false</ScaleCrop>
  <LinksUpToDate>false</LinksUpToDate>
  <CharactersWithSpaces>2512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2019-03-02T04:35:00Z</dcterms:created>
  <dc:creator>赵 恺（预算处）</dc:creator>
  <cp:lastModifiedBy>Administrator</cp:lastModifiedBy>
  <cp:lastPrinted>2018-12-31T10:56:00Z</cp:lastPrinted>
  <dcterms:modified xsi:type="dcterms:W3CDTF">2024-02-27T04:00:17Z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