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8"/>
        <w:spacing w:line="540" w:lineRule="exact"/>
        <w:jc w:val="center"/>
        <w:rPr>
          <w:rFonts w:hint="eastAsia"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color w:val="auto"/>
          <w:kern w:val="0"/>
          <w:sz w:val="52"/>
          <w:szCs w:val="52"/>
          <w:lang w:val="zh-TW" w:eastAsia="zh-TW"/>
        </w:rPr>
      </w:pPr>
      <w:r>
        <w:rPr>
          <w:rFonts w:hint="eastAsia" w:ascii="黑体" w:hAnsi="黑体" w:eastAsia="黑体" w:cs="黑体"/>
          <w:bCs/>
          <w:sz w:val="44"/>
          <w:szCs w:val="44"/>
        </w:rPr>
        <w:t>自治区财政项目支出绩效自评报告</w:t>
      </w: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kern w:val="0"/>
          <w:sz w:val="36"/>
          <w:szCs w:val="36"/>
          <w:lang w:val="zh-TW" w:eastAsia="zh-TW"/>
        </w:rPr>
      </w:pPr>
      <w:r>
        <w:rPr>
          <w:rFonts w:ascii="仿宋_GB2312" w:hAnsi="仿宋_GB2312" w:eastAsia="仿宋_GB2312" w:cs="仿宋_GB2312"/>
          <w:kern w:val="0"/>
          <w:sz w:val="36"/>
          <w:szCs w:val="36"/>
          <w:lang w:val="zh-TW" w:eastAsia="zh-TW"/>
        </w:rPr>
        <w:t>（</w:t>
      </w:r>
      <w:r>
        <w:rPr>
          <w:rFonts w:hint="eastAsia" w:ascii="仿宋_GB2312" w:hAnsi="仿宋_GB2312" w:eastAsia="仿宋_GB2312" w:cs="仿宋_GB2312"/>
          <w:kern w:val="0"/>
          <w:sz w:val="36"/>
          <w:szCs w:val="36"/>
          <w:lang w:val="zh-TW"/>
        </w:rPr>
        <w:t>2018</w:t>
      </w:r>
      <w:r>
        <w:rPr>
          <w:rFonts w:ascii="仿宋_GB2312" w:hAnsi="仿宋_GB2312" w:eastAsia="仿宋_GB2312" w:cs="仿宋_GB2312"/>
          <w:kern w:val="0"/>
          <w:sz w:val="36"/>
          <w:szCs w:val="36"/>
          <w:lang w:val="zh-TW" w:eastAsia="zh-TW"/>
        </w:rPr>
        <w:t>年度）</w:t>
      </w: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rPr>
          <w:kern w:val="0"/>
          <w:sz w:val="30"/>
          <w:szCs w:val="30"/>
        </w:rPr>
      </w:pPr>
    </w:p>
    <w:p>
      <w:pPr>
        <w:pStyle w:val="48"/>
        <w:spacing w:line="540" w:lineRule="exact"/>
        <w:rPr>
          <w:kern w:val="0"/>
          <w:sz w:val="30"/>
          <w:szCs w:val="30"/>
        </w:rPr>
      </w:pPr>
    </w:p>
    <w:p>
      <w:pPr>
        <w:pStyle w:val="48"/>
        <w:spacing w:line="700" w:lineRule="exact"/>
        <w:ind w:firstLine="640" w:firstLineChars="200"/>
        <w:jc w:val="left"/>
        <w:rPr>
          <w:rFonts w:ascii="黑体" w:hAnsi="黑体" w:eastAsia="黑体" w:cs="仿宋_GB2312"/>
          <w:kern w:val="0"/>
          <w:sz w:val="32"/>
          <w:szCs w:val="32"/>
          <w:lang w:val="zh-TW"/>
        </w:rPr>
      </w:pPr>
      <w:r>
        <w:rPr>
          <w:rFonts w:ascii="黑体" w:hAnsi="黑体" w:eastAsia="黑体" w:cs="仿宋_GB2312"/>
          <w:kern w:val="0"/>
          <w:sz w:val="32"/>
          <w:szCs w:val="32"/>
          <w:lang w:val="zh-TW" w:eastAsia="zh-TW"/>
        </w:rPr>
        <w:t>项目名称：</w:t>
      </w:r>
      <w:r>
        <w:rPr>
          <w:rFonts w:hint="eastAsia" w:ascii="黑体" w:hAnsi="黑体" w:eastAsia="黑体" w:cs="宋体"/>
          <w:kern w:val="0"/>
          <w:sz w:val="32"/>
          <w:szCs w:val="32"/>
        </w:rPr>
        <w:t>安居富民补助项目</w:t>
      </w:r>
    </w:p>
    <w:p>
      <w:pPr>
        <w:pStyle w:val="48"/>
        <w:spacing w:line="700" w:lineRule="exact"/>
        <w:ind w:firstLine="640" w:firstLineChars="200"/>
        <w:jc w:val="left"/>
        <w:rPr>
          <w:rFonts w:ascii="黑体" w:hAnsi="黑体" w:eastAsia="黑体"/>
          <w:kern w:val="0"/>
          <w:sz w:val="32"/>
          <w:szCs w:val="32"/>
          <w:lang w:eastAsia="zh-TW"/>
        </w:rPr>
      </w:pPr>
      <w:r>
        <w:rPr>
          <w:rFonts w:ascii="黑体" w:hAnsi="黑体" w:eastAsia="黑体" w:cs="仿宋_GB2312"/>
          <w:kern w:val="0"/>
          <w:sz w:val="32"/>
          <w:szCs w:val="32"/>
          <w:lang w:val="zh-TW" w:eastAsia="zh-TW"/>
        </w:rPr>
        <w:t>实施单位（公章）：</w:t>
      </w:r>
      <w:r>
        <w:rPr>
          <w:rFonts w:hint="eastAsia" w:ascii="黑体" w:hAnsi="黑体" w:eastAsia="黑体" w:cs="仿宋_GB2312"/>
          <w:kern w:val="0"/>
          <w:sz w:val="32"/>
          <w:szCs w:val="32"/>
          <w:lang w:val="zh-TW" w:eastAsia="zh-TW"/>
        </w:rPr>
        <w:t>叶城县乌吉热克乡人民政府</w:t>
      </w:r>
    </w:p>
    <w:p>
      <w:pPr>
        <w:pStyle w:val="48"/>
        <w:spacing w:line="700" w:lineRule="exact"/>
        <w:ind w:firstLine="640" w:firstLineChars="200"/>
        <w:jc w:val="left"/>
        <w:rPr>
          <w:rFonts w:ascii="黑体" w:hAnsi="黑体" w:eastAsia="黑体"/>
          <w:kern w:val="0"/>
          <w:sz w:val="32"/>
          <w:szCs w:val="32"/>
          <w:lang w:eastAsia="zh-TW"/>
        </w:rPr>
      </w:pPr>
      <w:r>
        <w:rPr>
          <w:rFonts w:ascii="黑体" w:hAnsi="黑体" w:eastAsia="黑体" w:cs="仿宋_GB2312"/>
          <w:kern w:val="0"/>
          <w:sz w:val="32"/>
          <w:szCs w:val="32"/>
          <w:lang w:val="zh-TW" w:eastAsia="zh-TW"/>
        </w:rPr>
        <w:t>主管部门（公章）：</w:t>
      </w:r>
      <w:r>
        <w:rPr>
          <w:rFonts w:hint="eastAsia" w:ascii="黑体" w:hAnsi="黑体" w:eastAsia="黑体" w:cs="仿宋_GB2312"/>
          <w:kern w:val="0"/>
          <w:sz w:val="32"/>
          <w:szCs w:val="32"/>
          <w:lang w:val="zh-TW" w:eastAsia="zh-TW"/>
        </w:rPr>
        <w:t>叶城县乌吉热克乡人民政府</w:t>
      </w:r>
    </w:p>
    <w:p>
      <w:pPr>
        <w:pStyle w:val="48"/>
        <w:spacing w:line="700" w:lineRule="exact"/>
        <w:ind w:firstLine="640" w:firstLineChars="200"/>
        <w:jc w:val="left"/>
        <w:rPr>
          <w:rFonts w:ascii="黑体" w:hAnsi="黑体" w:eastAsia="黑体"/>
          <w:kern w:val="0"/>
          <w:sz w:val="32"/>
          <w:szCs w:val="32"/>
          <w:lang w:val="zh-TW" w:eastAsia="zh-TW"/>
        </w:rPr>
      </w:pPr>
      <w:r>
        <w:rPr>
          <w:rFonts w:ascii="黑体" w:hAnsi="黑体" w:eastAsia="黑体" w:cs="仿宋_GB2312"/>
          <w:kern w:val="0"/>
          <w:sz w:val="32"/>
          <w:szCs w:val="32"/>
          <w:lang w:val="zh-TW" w:eastAsia="zh-TW"/>
        </w:rPr>
        <w:t>项目负责人（签章）：齐福宝</w:t>
      </w:r>
    </w:p>
    <w:p>
      <w:pPr>
        <w:pStyle w:val="48"/>
        <w:spacing w:line="700" w:lineRule="exact"/>
        <w:ind w:firstLine="640" w:firstLineChars="200"/>
        <w:jc w:val="left"/>
        <w:rPr>
          <w:rFonts w:ascii="黑体" w:hAnsi="黑体" w:eastAsia="黑体" w:cs="仿宋_GB2312"/>
          <w:kern w:val="0"/>
          <w:sz w:val="32"/>
          <w:szCs w:val="32"/>
          <w:lang w:val="zh-TW"/>
        </w:rPr>
      </w:pPr>
      <w:r>
        <w:rPr>
          <w:rFonts w:ascii="黑体" w:hAnsi="黑体" w:eastAsia="黑体" w:cs="仿宋_GB2312"/>
          <w:kern w:val="0"/>
          <w:sz w:val="32"/>
          <w:szCs w:val="32"/>
          <w:lang w:val="zh-TW" w:eastAsia="zh-TW"/>
        </w:rPr>
        <w:t>填报时间：</w:t>
      </w:r>
      <w:r>
        <w:rPr>
          <w:rFonts w:hint="eastAsia" w:ascii="黑体" w:hAnsi="黑体" w:eastAsia="黑体" w:cs="仿宋_GB2312"/>
          <w:kern w:val="0"/>
          <w:sz w:val="32"/>
          <w:szCs w:val="32"/>
          <w:lang w:val="zh-TW"/>
        </w:rPr>
        <w:t>2018</w:t>
      </w:r>
      <w:r>
        <w:rPr>
          <w:rFonts w:ascii="黑体" w:hAnsi="黑体" w:eastAsia="黑体" w:cs="仿宋_GB2312"/>
          <w:kern w:val="0"/>
          <w:sz w:val="32"/>
          <w:szCs w:val="32"/>
          <w:lang w:val="zh-TW" w:eastAsia="zh-TW"/>
        </w:rPr>
        <w:t>年</w:t>
      </w:r>
      <w:r>
        <w:rPr>
          <w:rFonts w:hint="eastAsia" w:ascii="黑体" w:hAnsi="黑体" w:eastAsia="黑体" w:cs="仿宋_GB2312"/>
          <w:kern w:val="0"/>
          <w:sz w:val="32"/>
          <w:szCs w:val="32"/>
          <w:lang w:val="zh-TW"/>
        </w:rPr>
        <w:t>12</w:t>
      </w:r>
      <w:r>
        <w:rPr>
          <w:rFonts w:ascii="黑体" w:hAnsi="黑体" w:eastAsia="黑体" w:cs="仿宋_GB2312"/>
          <w:kern w:val="0"/>
          <w:sz w:val="32"/>
          <w:szCs w:val="32"/>
          <w:lang w:val="zh-TW" w:eastAsia="zh-TW"/>
        </w:rPr>
        <w:t>月</w:t>
      </w:r>
      <w:r>
        <w:rPr>
          <w:rFonts w:hint="eastAsia" w:ascii="黑体" w:hAnsi="黑体" w:eastAsia="黑体" w:cs="仿宋_GB2312"/>
          <w:kern w:val="0"/>
          <w:sz w:val="32"/>
          <w:szCs w:val="32"/>
          <w:lang w:val="zh-TW"/>
        </w:rPr>
        <w:t>25</w:t>
      </w:r>
      <w:r>
        <w:rPr>
          <w:rFonts w:ascii="黑体" w:hAnsi="黑体" w:eastAsia="黑体" w:cs="仿宋_GB2312"/>
          <w:kern w:val="0"/>
          <w:sz w:val="32"/>
          <w:szCs w:val="32"/>
          <w:lang w:val="zh-TW" w:eastAsia="zh-TW"/>
        </w:rPr>
        <w:t>日</w:t>
      </w:r>
    </w:p>
    <w:p>
      <w:pPr>
        <w:pStyle w:val="48"/>
        <w:spacing w:line="560" w:lineRule="exact"/>
        <w:ind w:firstLine="640" w:firstLineChars="200"/>
        <w:jc w:val="left"/>
        <w:rPr>
          <w:rFonts w:ascii="黑体" w:hAnsi="黑体" w:eastAsia="黑体" w:cs="仿宋_GB2312"/>
          <w:bCs/>
          <w:color w:val="auto"/>
          <w:kern w:val="0"/>
          <w:sz w:val="32"/>
          <w:szCs w:val="32"/>
          <w:lang w:val="zh-TW" w:eastAsia="zh-TW"/>
        </w:rPr>
      </w:pPr>
      <w:r>
        <w:rPr>
          <w:rFonts w:hint="eastAsia" w:ascii="黑体" w:hAnsi="黑体" w:eastAsia="黑体" w:cs="仿宋_GB2312"/>
          <w:bCs/>
          <w:color w:val="auto"/>
          <w:kern w:val="0"/>
          <w:sz w:val="32"/>
          <w:szCs w:val="32"/>
          <w:lang w:val="zh-TW" w:eastAsia="zh-TW"/>
        </w:rPr>
        <w:t>一、项目概况</w:t>
      </w:r>
    </w:p>
    <w:p>
      <w:pPr>
        <w:adjustRightInd w:val="0"/>
        <w:snapToGrid w:val="0"/>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（一）项目单位基本情况</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叶城县乌吉热克乡属党政机关行政部门，乡科级行政单位，辖</w:t>
      </w:r>
      <w:r>
        <w:rPr>
          <w:rFonts w:ascii="仿宋_GB2312" w:hAnsi="仿宋_GB2312" w:eastAsia="仿宋_GB2312" w:cs="仿宋_GB2312"/>
          <w:kern w:val="0"/>
          <w:sz w:val="32"/>
          <w:szCs w:val="32"/>
          <w:u w:color="000000"/>
          <w:lang w:val="zh-TW" w:eastAsia="zh-TW"/>
        </w:rPr>
        <w:t>1</w:t>
      </w:r>
      <w:r>
        <w:rPr>
          <w:rFonts w:hint="eastAsia" w:ascii="仿宋_GB2312" w:hAnsi="仿宋_GB2312" w:eastAsia="仿宋_GB2312" w:cs="仿宋_GB2312"/>
          <w:kern w:val="0"/>
          <w:sz w:val="32"/>
          <w:szCs w:val="32"/>
          <w:u w:color="000000"/>
          <w:lang w:val="zh-TW" w:eastAsia="zh-TW"/>
        </w:rPr>
        <w:t>8个行政村；全乡共有农牧民</w:t>
      </w:r>
      <w:r>
        <w:rPr>
          <w:rFonts w:ascii="仿宋_GB2312" w:hAnsi="仿宋_GB2312" w:eastAsia="仿宋_GB2312" w:cs="仿宋_GB2312"/>
          <w:kern w:val="0"/>
          <w:sz w:val="32"/>
          <w:szCs w:val="32"/>
          <w:u w:color="000000"/>
          <w:lang w:val="zh-TW" w:eastAsia="zh-TW"/>
        </w:rPr>
        <w:t>25682</w:t>
      </w:r>
      <w:r>
        <w:rPr>
          <w:rFonts w:hint="eastAsia" w:ascii="仿宋_GB2312" w:hAnsi="仿宋_GB2312" w:eastAsia="仿宋_GB2312" w:cs="仿宋_GB2312"/>
          <w:kern w:val="0"/>
          <w:sz w:val="32"/>
          <w:szCs w:val="32"/>
          <w:u w:color="000000"/>
          <w:lang w:val="zh-TW" w:eastAsia="zh-TW"/>
        </w:rPr>
        <w:t>多人，农户</w:t>
      </w:r>
      <w:r>
        <w:rPr>
          <w:rFonts w:ascii="仿宋_GB2312" w:hAnsi="仿宋_GB2312" w:eastAsia="仿宋_GB2312" w:cs="仿宋_GB2312"/>
          <w:kern w:val="0"/>
          <w:sz w:val="32"/>
          <w:szCs w:val="32"/>
          <w:u w:color="000000"/>
          <w:lang w:val="zh-TW" w:eastAsia="zh-TW"/>
        </w:rPr>
        <w:t>5771</w:t>
      </w:r>
      <w:r>
        <w:rPr>
          <w:rFonts w:hint="eastAsia" w:ascii="仿宋_GB2312" w:hAnsi="仿宋_GB2312" w:eastAsia="仿宋_GB2312" w:cs="仿宋_GB2312"/>
          <w:kern w:val="0"/>
          <w:sz w:val="32"/>
          <w:szCs w:val="32"/>
          <w:u w:color="000000"/>
          <w:lang w:val="zh-TW" w:eastAsia="zh-TW"/>
        </w:rPr>
        <w:t>户，主要以种植核桃、小麦、玉米、设施农业为主，是叶城县农业大乡。编制情况：编制81人，其中行政编制62人，参照公务员法管理人员1人，财政补助人员18人。</w:t>
      </w:r>
    </w:p>
    <w:p>
      <w:pPr>
        <w:spacing w:line="560" w:lineRule="exact"/>
        <w:ind w:firstLine="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乌吉热克乡人民政府为乡级党政机关，编制党委、政府机构，根据县要求，于</w:t>
      </w:r>
      <w:r>
        <w:rPr>
          <w:rFonts w:ascii="仿宋_GB2312" w:hAnsi="仿宋_GB2312" w:eastAsia="仿宋_GB2312" w:cs="仿宋_GB2312"/>
          <w:kern w:val="0"/>
          <w:sz w:val="32"/>
          <w:szCs w:val="32"/>
          <w:u w:color="000000"/>
          <w:lang w:val="zh-TW" w:eastAsia="zh-TW"/>
        </w:rPr>
        <w:t>2015</w:t>
      </w:r>
      <w:r>
        <w:rPr>
          <w:rFonts w:hint="eastAsia" w:ascii="仿宋_GB2312" w:hAnsi="仿宋_GB2312" w:eastAsia="仿宋_GB2312" w:cs="仿宋_GB2312"/>
          <w:kern w:val="0"/>
          <w:sz w:val="32"/>
          <w:szCs w:val="32"/>
          <w:u w:color="000000"/>
          <w:lang w:val="zh-TW" w:eastAsia="zh-TW"/>
        </w:rPr>
        <w:t>年</w:t>
      </w:r>
      <w:r>
        <w:rPr>
          <w:rFonts w:ascii="仿宋_GB2312" w:hAnsi="仿宋_GB2312" w:eastAsia="仿宋_GB2312" w:cs="仿宋_GB2312"/>
          <w:kern w:val="0"/>
          <w:sz w:val="32"/>
          <w:szCs w:val="32"/>
          <w:u w:color="000000"/>
          <w:lang w:val="zh-TW" w:eastAsia="zh-TW"/>
        </w:rPr>
        <w:t>10</w:t>
      </w:r>
      <w:r>
        <w:rPr>
          <w:rFonts w:hint="eastAsia" w:ascii="仿宋_GB2312" w:hAnsi="仿宋_GB2312" w:eastAsia="仿宋_GB2312" w:cs="仿宋_GB2312"/>
          <w:kern w:val="0"/>
          <w:sz w:val="32"/>
          <w:szCs w:val="32"/>
          <w:u w:color="000000"/>
          <w:lang w:val="zh-TW" w:eastAsia="zh-TW"/>
        </w:rPr>
        <w:t>月，把七站八所划归乡镇；共设有农业农村经济办、党建办、社会事务办、财政所、民政所等机构。</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主要职能：负责全乡党政行政管理事务。深入贯彻落实党的有关</w:t>
      </w:r>
      <w:r>
        <w:rPr>
          <w:rFonts w:hint="eastAsia" w:ascii="仿宋_GB2312" w:hAnsi="仿宋_GB2312" w:eastAsia="仿宋_GB2312" w:cs="仿宋_GB2312"/>
          <w:kern w:val="0"/>
          <w:sz w:val="32"/>
          <w:szCs w:val="32"/>
          <w:u w:color="000000"/>
          <w:lang w:val="zh-TW" w:eastAsia="zh-CN"/>
        </w:rPr>
        <w:t>方针</w:t>
      </w:r>
      <w:r>
        <w:rPr>
          <w:rFonts w:hint="eastAsia" w:ascii="仿宋_GB2312" w:hAnsi="仿宋_GB2312" w:eastAsia="仿宋_GB2312" w:cs="仿宋_GB2312"/>
          <w:kern w:val="0"/>
          <w:sz w:val="32"/>
          <w:szCs w:val="32"/>
          <w:u w:color="000000"/>
          <w:lang w:val="zh-TW" w:eastAsia="zh-TW"/>
        </w:rPr>
        <w:t>政策指示，把党的各项优惠政策落实到实处，负责全乡经济社会发展、社会事务管理、基层组织建设等全面工作。以全面建设社会主义新农村为根本出发点，不断深化美丽乡村建设，不断铸牢全乡经济社会发展基础，为全乡各族群众提供社会服务。</w:t>
      </w:r>
    </w:p>
    <w:p>
      <w:pPr>
        <w:adjustRightInd w:val="0"/>
        <w:snapToGrid w:val="0"/>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（二）项目预算</w:t>
      </w:r>
      <w:r>
        <w:rPr>
          <w:rFonts w:ascii="仿宋_GB2312" w:hAnsi="仿宋_GB2312" w:eastAsia="仿宋_GB2312" w:cs="仿宋_GB2312"/>
          <w:bCs/>
          <w:kern w:val="0"/>
          <w:sz w:val="32"/>
          <w:szCs w:val="32"/>
          <w:u w:color="000000"/>
          <w:lang w:val="zh-TW" w:eastAsia="zh-TW"/>
        </w:rPr>
        <w:t>绩效目标</w:t>
      </w:r>
      <w:r>
        <w:rPr>
          <w:rFonts w:hint="eastAsia" w:ascii="仿宋_GB2312" w:hAnsi="仿宋_GB2312" w:eastAsia="仿宋_GB2312" w:cs="仿宋_GB2312"/>
          <w:bCs/>
          <w:kern w:val="0"/>
          <w:sz w:val="32"/>
          <w:szCs w:val="32"/>
          <w:u w:color="000000"/>
          <w:lang w:val="zh-TW" w:eastAsia="zh-TW"/>
        </w:rPr>
        <w:t>设定情况</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1、项目预期目标及阶段性目标</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叶城县安居富民办公室下达叶城县乌吉热克乡2018年安居富民项目资金1001.6万元，建设659套安居富民房。通过该项目的实施，为乌吉热克乡18个村中符合条件的农户建设安居富民保障房，提供了环境舒适的居住环境。项目绩效各项年度指标值均已达到，项目已实施完毕。</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2、项目基本性质</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本项目性质为延续项目。</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3、项目用途及范围</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叶城县安居富民办公室下达叶城县乌吉热克乡2018年安居富民项目资金1001.6万元，建设659套安居富民房。通过该项目的实施，为乌吉热克乡18个村中符合条件的农户建设安居富民保障房，提供了环境舒适的居住环境。项目绩效各项年度指标值均已达到，项目已实施完毕。</w:t>
      </w:r>
    </w:p>
    <w:p>
      <w:pPr>
        <w:adjustRightInd w:val="0"/>
        <w:snapToGrid w:val="0"/>
        <w:spacing w:line="560" w:lineRule="exact"/>
        <w:ind w:firstLine="640" w:firstLineChars="200"/>
        <w:outlineLvl w:val="0"/>
        <w:rPr>
          <w:rFonts w:ascii="黑体" w:hAnsi="黑体" w:eastAsia="黑体" w:cs="仿宋_GB2312"/>
          <w:bCs/>
          <w:kern w:val="0"/>
          <w:sz w:val="32"/>
          <w:szCs w:val="32"/>
          <w:u w:color="000000"/>
          <w:lang w:val="zh-TW" w:eastAsia="zh-TW"/>
        </w:rPr>
      </w:pPr>
      <w:r>
        <w:rPr>
          <w:rFonts w:hint="eastAsia" w:ascii="黑体" w:hAnsi="黑体" w:eastAsia="黑体" w:cs="仿宋_GB2312"/>
          <w:bCs/>
          <w:kern w:val="0"/>
          <w:sz w:val="32"/>
          <w:szCs w:val="32"/>
          <w:u w:color="000000"/>
          <w:lang w:val="zh-TW" w:eastAsia="zh-TW"/>
        </w:rPr>
        <w:t>二、项目资金使用及管理情况</w:t>
      </w:r>
    </w:p>
    <w:p>
      <w:pPr>
        <w:adjustRightInd w:val="0"/>
        <w:snapToGrid w:val="0"/>
        <w:spacing w:line="560" w:lineRule="exact"/>
        <w:ind w:firstLine="640" w:firstLineChars="200"/>
        <w:outlineLvl w:val="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（一）项目资金安排落实、总投入等情况分析</w:t>
      </w:r>
    </w:p>
    <w:p>
      <w:pPr>
        <w:spacing w:line="560" w:lineRule="exact"/>
        <w:ind w:firstLine="640" w:firstLineChars="200"/>
        <w:outlineLvl w:val="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该项目根据喀地财社［2018］10号、喀地财社［2018］83号、喀地财建［2018］92号，乌吉热克乡</w:t>
      </w:r>
      <w:r>
        <w:rPr>
          <w:rFonts w:ascii="仿宋_GB2312" w:hAnsi="仿宋_GB2312" w:eastAsia="仿宋_GB2312" w:cs="仿宋_GB2312"/>
          <w:kern w:val="0"/>
          <w:sz w:val="32"/>
          <w:szCs w:val="32"/>
          <w:u w:color="000000"/>
          <w:lang w:val="zh-TW" w:eastAsia="zh-TW"/>
        </w:rPr>
        <w:t>2018</w:t>
      </w:r>
      <w:r>
        <w:rPr>
          <w:rFonts w:hint="eastAsia" w:ascii="仿宋_GB2312" w:hAnsi="仿宋_GB2312" w:eastAsia="仿宋_GB2312" w:cs="仿宋_GB2312"/>
          <w:kern w:val="0"/>
          <w:sz w:val="32"/>
          <w:szCs w:val="32"/>
          <w:u w:color="000000"/>
          <w:lang w:val="zh-TW" w:eastAsia="zh-TW"/>
        </w:rPr>
        <w:t>年安居富民项目1001.6万元, 主要用于在给659户农民群众修建659户安居富民房。绩效目标为：该项目均为给本乡有需求的群众建设安居富民房，旨在保障困难和弱势群体的生活水平，达到基本住宿条件，从而进一步提升群众基础。</w:t>
      </w:r>
    </w:p>
    <w:p>
      <w:pPr>
        <w:adjustRightInd w:val="0"/>
        <w:snapToGrid w:val="0"/>
        <w:spacing w:line="560" w:lineRule="exact"/>
        <w:ind w:firstLine="640" w:firstLineChars="200"/>
        <w:outlineLvl w:val="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（二）项目资金实际使用情况分析</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乌吉热克乡人民政府安居富民项目实际支付资金1001.6万元，安居富民项目执行率</w:t>
      </w:r>
      <w:r>
        <w:rPr>
          <w:rFonts w:ascii="仿宋_GB2312" w:hAnsi="仿宋_GB2312" w:eastAsia="仿宋_GB2312" w:cs="仿宋_GB2312"/>
          <w:kern w:val="0"/>
          <w:sz w:val="32"/>
          <w:szCs w:val="32"/>
          <w:u w:color="000000"/>
          <w:lang w:val="zh-TW" w:eastAsia="zh-TW"/>
        </w:rPr>
        <w:t>100%</w:t>
      </w:r>
      <w:r>
        <w:rPr>
          <w:rFonts w:hint="eastAsia" w:ascii="仿宋_GB2312" w:hAnsi="仿宋_GB2312" w:eastAsia="仿宋_GB2312" w:cs="仿宋_GB2312"/>
          <w:kern w:val="0"/>
          <w:sz w:val="32"/>
          <w:szCs w:val="32"/>
          <w:u w:color="000000"/>
          <w:lang w:val="zh-TW" w:eastAsia="zh-TW"/>
        </w:rPr>
        <w:t>。均用于给乌吉热克乡需要的村民建设安居富民房。</w:t>
      </w:r>
    </w:p>
    <w:p>
      <w:pPr>
        <w:adjustRightInd w:val="0"/>
        <w:snapToGrid w:val="0"/>
        <w:spacing w:line="560" w:lineRule="exact"/>
        <w:ind w:firstLine="640" w:firstLineChars="200"/>
        <w:outlineLvl w:val="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（三）项目资金管理情况分析</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本项目支出符合叶城县乌吉热克乡相关财务管理制度，包括会计人员《集中核算工作管理制度》、《财务收支审批制度》、《财务稽核制度》、会计主管岗位职责等制度规定，资金的拨付有完整的审批程序和手续，不存在截留、挤占、挪用等情况。该项目资金拨至我县财政局国库，经民政局业务股室对符合享受待遇条件的业务进行初审、复核，汇总产生汇总表后，经财务人员复核、领导签字后，由叶城县民政局将汇总表递交县领导审批后从财政专户中将资金拨付乌吉热克乡人民政府后直接发放到个人手中。</w:t>
      </w:r>
    </w:p>
    <w:p>
      <w:pPr>
        <w:adjustRightInd w:val="0"/>
        <w:snapToGrid w:val="0"/>
        <w:spacing w:line="560" w:lineRule="exact"/>
        <w:ind w:firstLine="640" w:firstLineChars="200"/>
        <w:outlineLvl w:val="0"/>
        <w:rPr>
          <w:rFonts w:ascii="黑体" w:hAnsi="黑体" w:eastAsia="黑体" w:cs="仿宋_GB2312"/>
          <w:bCs/>
          <w:kern w:val="0"/>
          <w:sz w:val="32"/>
          <w:szCs w:val="32"/>
          <w:u w:color="000000"/>
          <w:lang w:val="zh-TW" w:eastAsia="zh-TW"/>
        </w:rPr>
      </w:pPr>
      <w:r>
        <w:rPr>
          <w:rFonts w:hint="eastAsia" w:ascii="黑体" w:hAnsi="黑体" w:eastAsia="黑体" w:cs="仿宋_GB2312"/>
          <w:bCs/>
          <w:kern w:val="0"/>
          <w:sz w:val="32"/>
          <w:szCs w:val="32"/>
          <w:u w:color="000000"/>
          <w:lang w:val="zh-TW" w:eastAsia="zh-TW"/>
        </w:rPr>
        <w:t>三、项目组织实施情况</w:t>
      </w:r>
    </w:p>
    <w:p>
      <w:pPr>
        <w:adjustRightInd w:val="0"/>
        <w:snapToGrid w:val="0"/>
        <w:spacing w:line="560" w:lineRule="exact"/>
        <w:ind w:firstLine="640" w:firstLineChars="200"/>
        <w:outlineLvl w:val="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（一）项目组织情况分析</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ascii="仿宋_GB2312" w:hAnsi="仿宋_GB2312" w:eastAsia="仿宋_GB2312" w:cs="仿宋_GB2312"/>
          <w:kern w:val="0"/>
          <w:sz w:val="32"/>
          <w:szCs w:val="32"/>
          <w:u w:color="000000"/>
          <w:lang w:val="zh-TW" w:eastAsia="zh-TW"/>
        </w:rPr>
        <w:t>乌吉热克乡2018</w:t>
      </w:r>
      <w:r>
        <w:rPr>
          <w:rFonts w:hint="eastAsia" w:ascii="仿宋_GB2312" w:hAnsi="仿宋_GB2312" w:eastAsia="仿宋_GB2312" w:cs="仿宋_GB2312"/>
          <w:kern w:val="0"/>
          <w:sz w:val="32"/>
          <w:szCs w:val="32"/>
          <w:u w:color="000000"/>
          <w:lang w:val="zh-TW" w:eastAsia="zh-TW"/>
        </w:rPr>
        <w:t>年安居富民项目项目1001.6万元，用于给村民建设安居富民房，由农民自行建房，乡政府验收合格后发放补助，不需要进行招投标</w:t>
      </w:r>
      <w:r>
        <w:rPr>
          <w:rFonts w:ascii="仿宋_GB2312" w:hAnsi="仿宋_GB2312" w:eastAsia="仿宋_GB2312" w:cs="仿宋_GB2312"/>
          <w:kern w:val="0"/>
          <w:sz w:val="32"/>
          <w:szCs w:val="32"/>
          <w:u w:color="000000"/>
          <w:lang w:val="zh-TW" w:eastAsia="zh-TW"/>
        </w:rPr>
        <w:t>,</w:t>
      </w:r>
      <w:r>
        <w:rPr>
          <w:rFonts w:hint="eastAsia" w:ascii="仿宋_GB2312" w:hAnsi="仿宋_GB2312" w:eastAsia="仿宋_GB2312" w:cs="仿宋_GB2312"/>
          <w:kern w:val="0"/>
          <w:sz w:val="32"/>
          <w:szCs w:val="32"/>
          <w:u w:color="000000"/>
          <w:lang w:val="zh-TW" w:eastAsia="zh-TW"/>
        </w:rPr>
        <w:t>由本单位自行组织实施。实施过程均按照本单位制定的管理制度执行。</w:t>
      </w:r>
    </w:p>
    <w:p>
      <w:pPr>
        <w:adjustRightInd w:val="0"/>
        <w:snapToGrid w:val="0"/>
        <w:spacing w:line="560" w:lineRule="exact"/>
        <w:ind w:firstLine="640" w:firstLineChars="200"/>
        <w:outlineLvl w:val="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（二）项目管理情况分析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乌吉热克乡人民政府安居富民项目过程中，根据《安居富民项目管理办法》等，安居富民项目严格遵守相关法律法规和业务管理规定，支出资料齐全并及时归档。已建立《安居富民项目检查监督检查机制》，不定期对安居富民项目进度情况进行督导检查，对检查过程中发现的问题及时督促整改，确保富民项目有效、高质量的完成。</w:t>
      </w:r>
    </w:p>
    <w:p>
      <w:pPr>
        <w:adjustRightInd w:val="0"/>
        <w:snapToGrid w:val="0"/>
        <w:spacing w:line="560" w:lineRule="exact"/>
        <w:ind w:firstLine="640" w:firstLineChars="200"/>
        <w:outlineLvl w:val="0"/>
        <w:rPr>
          <w:rFonts w:ascii="黑体" w:hAnsi="黑体" w:eastAsia="黑体" w:cs="仿宋_GB2312"/>
          <w:b/>
          <w:bCs/>
          <w:kern w:val="0"/>
          <w:sz w:val="32"/>
          <w:szCs w:val="32"/>
          <w:u w:color="000000"/>
          <w:lang w:val="zh-TW" w:eastAsia="zh-TW"/>
        </w:rPr>
      </w:pPr>
      <w:r>
        <w:rPr>
          <w:rFonts w:hint="eastAsia" w:ascii="黑体" w:hAnsi="黑体" w:eastAsia="黑体" w:cs="仿宋_GB2312"/>
          <w:bCs/>
          <w:kern w:val="0"/>
          <w:sz w:val="32"/>
          <w:szCs w:val="32"/>
          <w:u w:color="000000"/>
          <w:lang w:val="zh-TW" w:eastAsia="zh-TW"/>
        </w:rPr>
        <w:t>四、项目绩效情况</w:t>
      </w:r>
    </w:p>
    <w:p>
      <w:pPr>
        <w:adjustRightInd w:val="0"/>
        <w:snapToGrid w:val="0"/>
        <w:spacing w:line="560" w:lineRule="exact"/>
        <w:ind w:firstLine="640" w:firstLineChars="200"/>
        <w:outlineLvl w:val="0"/>
        <w:rPr>
          <w:rFonts w:ascii="仿宋_GB2312" w:hAnsi="仿宋_GB2312" w:eastAsia="仿宋_GB2312" w:cs="仿宋_GB2312"/>
          <w:b/>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（一）项目绩效目标完成情况分析</w:t>
      </w:r>
    </w:p>
    <w:p>
      <w:pPr>
        <w:widowControl/>
        <w:spacing w:line="560" w:lineRule="exact"/>
        <w:ind w:firstLine="640" w:firstLineChars="200"/>
        <w:jc w:val="left"/>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本项目共设置一级指标</w:t>
      </w:r>
      <w:r>
        <w:rPr>
          <w:rFonts w:ascii="仿宋_GB2312" w:hAnsi="仿宋_GB2312" w:eastAsia="仿宋_GB2312" w:cs="仿宋_GB2312"/>
          <w:kern w:val="0"/>
          <w:sz w:val="32"/>
          <w:szCs w:val="32"/>
          <w:u w:color="000000"/>
          <w:lang w:val="zh-TW" w:eastAsia="zh-TW"/>
        </w:rPr>
        <w:t>3</w:t>
      </w:r>
      <w:r>
        <w:rPr>
          <w:rFonts w:hint="eastAsia" w:ascii="仿宋_GB2312" w:hAnsi="仿宋_GB2312" w:eastAsia="仿宋_GB2312" w:cs="仿宋_GB2312"/>
          <w:kern w:val="0"/>
          <w:sz w:val="32"/>
          <w:szCs w:val="32"/>
          <w:u w:color="000000"/>
          <w:lang w:val="zh-TW" w:eastAsia="zh-TW"/>
        </w:rPr>
        <w:t>个，二级指标</w:t>
      </w:r>
      <w:r>
        <w:rPr>
          <w:rFonts w:ascii="仿宋_GB2312" w:hAnsi="仿宋_GB2312" w:eastAsia="仿宋_GB2312" w:cs="仿宋_GB2312"/>
          <w:kern w:val="0"/>
          <w:sz w:val="32"/>
          <w:szCs w:val="32"/>
          <w:u w:color="000000"/>
          <w:lang w:val="zh-TW" w:eastAsia="zh-TW"/>
        </w:rPr>
        <w:t>9</w:t>
      </w:r>
      <w:r>
        <w:rPr>
          <w:rFonts w:hint="eastAsia" w:ascii="仿宋_GB2312" w:hAnsi="仿宋_GB2312" w:eastAsia="仿宋_GB2312" w:cs="仿宋_GB2312"/>
          <w:kern w:val="0"/>
          <w:sz w:val="32"/>
          <w:szCs w:val="32"/>
          <w:u w:color="000000"/>
          <w:lang w:val="zh-TW" w:eastAsia="zh-TW"/>
        </w:rPr>
        <w:t>个，三级指标10个，其中已完成三级指标10个，指标完成率为100</w:t>
      </w:r>
      <w:r>
        <w:rPr>
          <w:rFonts w:ascii="仿宋_GB2312" w:hAnsi="仿宋_GB2312" w:eastAsia="仿宋_GB2312" w:cs="仿宋_GB2312"/>
          <w:kern w:val="0"/>
          <w:sz w:val="32"/>
          <w:szCs w:val="32"/>
          <w:u w:color="000000"/>
          <w:lang w:val="zh-TW" w:eastAsia="zh-TW"/>
        </w:rPr>
        <w:t>%</w:t>
      </w:r>
      <w:r>
        <w:rPr>
          <w:rFonts w:hint="eastAsia" w:ascii="仿宋_GB2312" w:hAnsi="仿宋_GB2312" w:eastAsia="仿宋_GB2312" w:cs="仿宋_GB2312"/>
          <w:kern w:val="0"/>
          <w:sz w:val="32"/>
          <w:szCs w:val="32"/>
          <w:u w:color="000000"/>
          <w:lang w:val="zh-TW" w:eastAsia="zh-TW"/>
        </w:rPr>
        <w:t>。根据年初设定的绩效目标，此项目自评得分为93分。</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ascii="仿宋_GB2312" w:hAnsi="仿宋_GB2312" w:eastAsia="仿宋_GB2312" w:cs="仿宋_GB2312"/>
          <w:kern w:val="0"/>
          <w:sz w:val="32"/>
          <w:szCs w:val="32"/>
          <w:u w:color="000000"/>
          <w:lang w:val="zh-TW" w:eastAsia="zh-TW"/>
        </w:rPr>
        <w:t>1.</w:t>
      </w:r>
      <w:r>
        <w:rPr>
          <w:rFonts w:hint="eastAsia" w:ascii="仿宋_GB2312" w:hAnsi="仿宋_GB2312" w:eastAsia="仿宋_GB2312" w:cs="仿宋_GB2312"/>
          <w:kern w:val="0"/>
          <w:sz w:val="32"/>
          <w:szCs w:val="32"/>
          <w:u w:color="000000"/>
          <w:lang w:val="zh-TW" w:eastAsia="zh-TW"/>
        </w:rPr>
        <w:t>产出指标完成情况分析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1</w:t>
      </w:r>
      <w:r>
        <w:rPr>
          <w:rFonts w:hint="eastAsia" w:ascii="仿宋_GB2312" w:hAnsi="仿宋_GB2312" w:eastAsia="仿宋_GB2312" w:cs="仿宋_GB2312"/>
          <w:kern w:val="0"/>
          <w:sz w:val="32"/>
          <w:szCs w:val="32"/>
          <w:u w:color="000000"/>
          <w:lang w:val="zh-TW" w:eastAsia="zh-TW"/>
        </w:rPr>
        <w:t>）项目完成数量</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数量指标保障情况：安居富民中央补助户数659户. 符合安居富民中央补助的户数共计659户。</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2</w:t>
      </w:r>
      <w:r>
        <w:rPr>
          <w:rFonts w:hint="eastAsia" w:ascii="仿宋_GB2312" w:hAnsi="仿宋_GB2312" w:eastAsia="仿宋_GB2312" w:cs="仿宋_GB2312"/>
          <w:kern w:val="0"/>
          <w:sz w:val="32"/>
          <w:szCs w:val="32"/>
          <w:u w:color="000000"/>
          <w:lang w:val="zh-TW" w:eastAsia="zh-TW"/>
        </w:rPr>
        <w:t>）项目完成质量</w:t>
      </w:r>
    </w:p>
    <w:p>
      <w:pPr>
        <w:spacing w:line="560" w:lineRule="exact"/>
        <w:ind w:firstLine="960" w:firstLineChars="3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乌吉热克乡2018年安居富民项目资金1001.6万元，建设安居富民房659套，经验收659套安居富民房建房质量合格率达到100%。</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3</w:t>
      </w:r>
      <w:r>
        <w:rPr>
          <w:rFonts w:hint="eastAsia" w:ascii="仿宋_GB2312" w:hAnsi="仿宋_GB2312" w:eastAsia="仿宋_GB2312" w:cs="仿宋_GB2312"/>
          <w:kern w:val="0"/>
          <w:sz w:val="32"/>
          <w:szCs w:val="32"/>
          <w:u w:color="000000"/>
          <w:lang w:val="zh-TW" w:eastAsia="zh-TW"/>
        </w:rPr>
        <w:t>）项目实施进度</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按照安居富民补助项目实施方案，资金到位及时率100%,资金发放及时率100%,安居富民补助费用1001.6万元，当年已全部执行完毕，执行率100%。</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4</w:t>
      </w:r>
      <w:r>
        <w:rPr>
          <w:rFonts w:hint="eastAsia" w:ascii="仿宋_GB2312" w:hAnsi="仿宋_GB2312" w:eastAsia="仿宋_GB2312" w:cs="仿宋_GB2312"/>
          <w:kern w:val="0"/>
          <w:sz w:val="32"/>
          <w:szCs w:val="32"/>
          <w:u w:color="000000"/>
          <w:lang w:val="zh-TW" w:eastAsia="zh-TW"/>
        </w:rPr>
        <w:t>）项目成本节约情况</w:t>
      </w:r>
    </w:p>
    <w:p>
      <w:pPr>
        <w:spacing w:line="560" w:lineRule="exact"/>
        <w:ind w:firstLine="1120" w:firstLineChars="35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通过安居富民补助项目的实施着力改善农村农户住房条件，每户补助1.52万元。.</w:t>
      </w:r>
    </w:p>
    <w:p>
      <w:pPr>
        <w:spacing w:line="560" w:lineRule="exact"/>
        <w:ind w:firstLine="960" w:firstLineChars="300"/>
        <w:rPr>
          <w:rFonts w:ascii="仿宋_GB2312" w:hAnsi="仿宋_GB2312" w:eastAsia="仿宋_GB2312" w:cs="仿宋_GB2312"/>
          <w:kern w:val="0"/>
          <w:sz w:val="32"/>
          <w:szCs w:val="32"/>
          <w:u w:color="000000"/>
          <w:lang w:val="zh-TW" w:eastAsia="zh-TW"/>
        </w:rPr>
      </w:pPr>
      <w:r>
        <w:rPr>
          <w:rFonts w:ascii="仿宋_GB2312" w:hAnsi="仿宋_GB2312" w:eastAsia="仿宋_GB2312" w:cs="仿宋_GB2312"/>
          <w:kern w:val="0"/>
          <w:sz w:val="32"/>
          <w:szCs w:val="32"/>
          <w:u w:color="000000"/>
          <w:lang w:val="zh-TW" w:eastAsia="zh-TW"/>
        </w:rPr>
        <w:t>2.</w:t>
      </w:r>
      <w:r>
        <w:rPr>
          <w:rFonts w:hint="eastAsia" w:ascii="仿宋_GB2312" w:hAnsi="仿宋_GB2312" w:eastAsia="仿宋_GB2312" w:cs="仿宋_GB2312"/>
          <w:kern w:val="0"/>
          <w:sz w:val="32"/>
          <w:szCs w:val="32"/>
          <w:u w:color="000000"/>
          <w:lang w:val="zh-TW" w:eastAsia="zh-TW"/>
        </w:rPr>
        <w:t>效益指标完成情况分析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1</w:t>
      </w:r>
      <w:r>
        <w:rPr>
          <w:rFonts w:hint="eastAsia" w:ascii="仿宋_GB2312" w:hAnsi="仿宋_GB2312" w:eastAsia="仿宋_GB2312" w:cs="仿宋_GB2312"/>
          <w:kern w:val="0"/>
          <w:sz w:val="32"/>
          <w:szCs w:val="32"/>
          <w:u w:color="000000"/>
          <w:lang w:val="zh-TW" w:eastAsia="zh-TW"/>
        </w:rPr>
        <w:t>）项目实施的经济效益分析</w:t>
      </w:r>
    </w:p>
    <w:p>
      <w:pPr>
        <w:spacing w:line="560" w:lineRule="exact"/>
        <w:ind w:firstLine="960" w:firstLineChars="3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着力改善农村农户住房条件，为当地财政减负1001.6万元，经济效益指标已完成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2</w:t>
      </w:r>
      <w:r>
        <w:rPr>
          <w:rFonts w:hint="eastAsia" w:ascii="仿宋_GB2312" w:hAnsi="仿宋_GB2312" w:eastAsia="仿宋_GB2312" w:cs="仿宋_GB2312"/>
          <w:kern w:val="0"/>
          <w:sz w:val="32"/>
          <w:szCs w:val="32"/>
          <w:u w:color="000000"/>
          <w:lang w:val="zh-TW" w:eastAsia="zh-TW"/>
        </w:rPr>
        <w:t>）项目实施的社会效益分析</w:t>
      </w:r>
    </w:p>
    <w:p>
      <w:pPr>
        <w:spacing w:line="560" w:lineRule="exact"/>
        <w:ind w:firstLine="960" w:firstLineChars="3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逐年改善让没有安全住房的广大群众“住房安全有保障”，社会效益指标已完成。</w:t>
      </w:r>
    </w:p>
    <w:p>
      <w:pPr>
        <w:spacing w:line="560" w:lineRule="exact"/>
        <w:ind w:left="588" w:leftChars="280" w:firstLine="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3</w:t>
      </w:r>
      <w:r>
        <w:rPr>
          <w:rFonts w:hint="eastAsia" w:ascii="仿宋_GB2312" w:hAnsi="仿宋_GB2312" w:eastAsia="仿宋_GB2312" w:cs="仿宋_GB2312"/>
          <w:kern w:val="0"/>
          <w:sz w:val="32"/>
          <w:szCs w:val="32"/>
          <w:u w:color="000000"/>
          <w:lang w:val="zh-TW" w:eastAsia="zh-TW"/>
        </w:rPr>
        <w:t>）项目实施的生态效益分析</w:t>
      </w:r>
    </w:p>
    <w:p>
      <w:pPr>
        <w:spacing w:line="560" w:lineRule="exact"/>
        <w:ind w:firstLine="960" w:firstLineChars="3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有效改善减少生活污水排放，生态效益指标已完成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4</w:t>
      </w:r>
      <w:r>
        <w:rPr>
          <w:rFonts w:hint="eastAsia" w:ascii="仿宋_GB2312" w:hAnsi="仿宋_GB2312" w:eastAsia="仿宋_GB2312" w:cs="仿宋_GB2312"/>
          <w:kern w:val="0"/>
          <w:sz w:val="32"/>
          <w:szCs w:val="32"/>
          <w:u w:color="000000"/>
          <w:lang w:val="zh-TW" w:eastAsia="zh-TW"/>
        </w:rPr>
        <w:t>）项目实施的可持续影响分析</w:t>
      </w:r>
    </w:p>
    <w:p>
      <w:pPr>
        <w:spacing w:line="560" w:lineRule="exact"/>
        <w:ind w:firstLine="960" w:firstLineChars="3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该项目的实施可保障安居富民住房使用50年，可持续影响指标</w:t>
      </w:r>
      <w:bookmarkStart w:id="0" w:name="_GoBack"/>
      <w:bookmarkEnd w:id="0"/>
      <w:r>
        <w:rPr>
          <w:rFonts w:hint="eastAsia" w:ascii="仿宋_GB2312" w:hAnsi="仿宋_GB2312" w:eastAsia="仿宋_GB2312" w:cs="仿宋_GB2312"/>
          <w:kern w:val="0"/>
          <w:sz w:val="32"/>
          <w:szCs w:val="32"/>
          <w:u w:color="000000"/>
          <w:lang w:val="zh-TW" w:eastAsia="zh-CN"/>
        </w:rPr>
        <w:t>截至目前</w:t>
      </w:r>
      <w:r>
        <w:rPr>
          <w:rFonts w:hint="eastAsia" w:ascii="仿宋_GB2312" w:hAnsi="仿宋_GB2312" w:eastAsia="仿宋_GB2312" w:cs="仿宋_GB2312"/>
          <w:kern w:val="0"/>
          <w:sz w:val="32"/>
          <w:szCs w:val="32"/>
          <w:u w:color="000000"/>
          <w:lang w:val="zh-TW" w:eastAsia="zh-TW"/>
        </w:rPr>
        <w:t>，未出现偏差</w:t>
      </w:r>
    </w:p>
    <w:p>
      <w:pPr>
        <w:spacing w:line="560" w:lineRule="exact"/>
        <w:ind w:firstLine="320" w:firstLineChars="100"/>
        <w:rPr>
          <w:rFonts w:ascii="仿宋_GB2312" w:hAnsi="仿宋_GB2312" w:eastAsia="仿宋_GB2312" w:cs="仿宋_GB2312"/>
          <w:kern w:val="0"/>
          <w:sz w:val="32"/>
          <w:szCs w:val="32"/>
          <w:u w:color="000000"/>
          <w:lang w:val="zh-TW" w:eastAsia="zh-TW"/>
        </w:rPr>
      </w:pPr>
      <w:r>
        <w:rPr>
          <w:rFonts w:ascii="仿宋_GB2312" w:hAnsi="仿宋_GB2312" w:eastAsia="仿宋_GB2312" w:cs="仿宋_GB2312"/>
          <w:kern w:val="0"/>
          <w:sz w:val="32"/>
          <w:szCs w:val="32"/>
          <w:u w:color="000000"/>
          <w:lang w:val="zh-TW" w:eastAsia="zh-TW"/>
        </w:rPr>
        <w:t>3.</w:t>
      </w:r>
      <w:r>
        <w:rPr>
          <w:rFonts w:hint="eastAsia" w:ascii="仿宋_GB2312" w:hAnsi="仿宋_GB2312" w:eastAsia="仿宋_GB2312" w:cs="仿宋_GB2312"/>
          <w:kern w:val="0"/>
          <w:sz w:val="32"/>
          <w:szCs w:val="32"/>
          <w:u w:color="000000"/>
          <w:lang w:val="zh-TW" w:eastAsia="zh-TW"/>
        </w:rPr>
        <w:t>满意度指标完成情况分析</w:t>
      </w:r>
    </w:p>
    <w:p>
      <w:pPr>
        <w:spacing w:line="560" w:lineRule="exact"/>
        <w:ind w:firstLine="320" w:firstLineChars="1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按计划完成项目实施，已做满意度调查问卷，受益户满意率达99%，服务对象满意度指标完成。</w:t>
      </w:r>
    </w:p>
    <w:p>
      <w:pPr>
        <w:adjustRightInd w:val="0"/>
        <w:snapToGrid w:val="0"/>
        <w:spacing w:line="560" w:lineRule="exact"/>
        <w:ind w:firstLine="640" w:firstLineChars="200"/>
        <w:outlineLvl w:val="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（二）项目绩效目标未完成原因分析</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2018年本项目绩效目标全部达成，不存在未完成原因分析。</w:t>
      </w:r>
    </w:p>
    <w:p>
      <w:pPr>
        <w:adjustRightInd w:val="0"/>
        <w:snapToGrid w:val="0"/>
        <w:spacing w:line="560" w:lineRule="exact"/>
        <w:ind w:firstLine="640" w:firstLineChars="200"/>
        <w:outlineLvl w:val="0"/>
        <w:rPr>
          <w:rFonts w:ascii="黑体" w:hAnsi="黑体" w:eastAsia="黑体" w:cs="仿宋_GB2312"/>
          <w:bCs/>
          <w:kern w:val="0"/>
          <w:sz w:val="32"/>
          <w:szCs w:val="32"/>
          <w:u w:color="000000"/>
          <w:lang w:val="zh-TW" w:eastAsia="zh-TW"/>
        </w:rPr>
      </w:pPr>
      <w:r>
        <w:rPr>
          <w:rFonts w:hint="eastAsia" w:ascii="黑体" w:hAnsi="黑体" w:eastAsia="黑体" w:cs="仿宋_GB2312"/>
          <w:bCs/>
          <w:kern w:val="0"/>
          <w:sz w:val="32"/>
          <w:szCs w:val="32"/>
          <w:u w:color="000000"/>
          <w:lang w:val="zh-TW" w:eastAsia="zh-TW"/>
        </w:rPr>
        <w:t>五、其他需要说明的问题</w:t>
      </w:r>
    </w:p>
    <w:p>
      <w:pPr>
        <w:adjustRightInd w:val="0"/>
        <w:snapToGrid w:val="0"/>
        <w:spacing w:line="560" w:lineRule="exact"/>
        <w:ind w:firstLine="640" w:firstLineChars="200"/>
        <w:outlineLvl w:val="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（一）后续工作计划</w:t>
      </w:r>
    </w:p>
    <w:p>
      <w:pPr>
        <w:adjustRightInd w:val="0"/>
        <w:snapToGrid w:val="0"/>
        <w:spacing w:line="560" w:lineRule="exact"/>
        <w:ind w:firstLine="640" w:firstLineChars="200"/>
        <w:outlineLvl w:val="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后续工作计划：2019年我们将一如既往将继续按照上级部门的统一部署和工作安排，认真做好各项惠民工程的工作。</w:t>
      </w:r>
    </w:p>
    <w:p>
      <w:pPr>
        <w:adjustRightInd w:val="0"/>
        <w:snapToGrid w:val="0"/>
        <w:spacing w:line="560" w:lineRule="exact"/>
        <w:ind w:firstLine="640" w:firstLineChars="200"/>
        <w:outlineLvl w:val="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1、认真做好2019年村安居富民项目的申报。</w:t>
      </w:r>
    </w:p>
    <w:p>
      <w:pPr>
        <w:adjustRightInd w:val="0"/>
        <w:snapToGrid w:val="0"/>
        <w:spacing w:line="560" w:lineRule="exact"/>
        <w:ind w:firstLine="640" w:firstLineChars="200"/>
        <w:outlineLvl w:val="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2、切实开展好安居富民项目的实施。采取有力措施：一是及时拨付安居富民项目资金；二是加大项目跟踪管理，争取在保证质量的前提下当年的项目当年全部实施完成；三是加快项目资金支付进度，确保当年的资金除去质保金以外全部支付完毕；四是做好项目档案收集与整理，当年的项目全部归档存档；五是做好项目绩效申报与自评，确保项目实施后达到取得的效果，是改善农村生产生活条件，解决群众急需解决的问题，给农牧民带来 “看得见、摸得着”的实惠。</w:t>
      </w:r>
    </w:p>
    <w:p>
      <w:pPr>
        <w:adjustRightInd w:val="0"/>
        <w:snapToGrid w:val="0"/>
        <w:spacing w:line="560" w:lineRule="exact"/>
        <w:ind w:firstLine="640" w:firstLineChars="200"/>
        <w:outlineLvl w:val="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（二）主要经验及做法、存在问题和建议</w:t>
      </w:r>
    </w:p>
    <w:p>
      <w:pPr>
        <w:adjustRightInd w:val="0"/>
        <w:snapToGrid w:val="0"/>
        <w:spacing w:line="560" w:lineRule="exact"/>
        <w:ind w:firstLine="640" w:firstLineChars="200"/>
        <w:outlineLvl w:val="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本次评价通过文件研读、实地调研、数据分析等方式，全面了解2018年安居富民项目资金的使用效率和效果，项目管理过程符合相关项目管理制度，完成了预期绩效目标及社会综合效益等。同时，通过开展自我评价来总结经验和教训，为财政转移支付项目今后的开展提供参考建议。</w:t>
      </w:r>
    </w:p>
    <w:p>
      <w:pPr>
        <w:adjustRightInd w:val="0"/>
        <w:snapToGrid w:val="0"/>
        <w:spacing w:line="560" w:lineRule="exact"/>
        <w:ind w:firstLine="640" w:firstLineChars="200"/>
        <w:outlineLvl w:val="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（三）其他</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无其他说明内容。</w:t>
      </w:r>
    </w:p>
    <w:p>
      <w:pPr>
        <w:adjustRightInd w:val="0"/>
        <w:snapToGrid w:val="0"/>
        <w:spacing w:line="560" w:lineRule="exact"/>
        <w:ind w:firstLine="640" w:firstLineChars="200"/>
        <w:outlineLvl w:val="0"/>
        <w:rPr>
          <w:rFonts w:ascii="黑体" w:hAnsi="黑体" w:eastAsia="黑体" w:cs="仿宋_GB2312"/>
          <w:kern w:val="0"/>
          <w:sz w:val="32"/>
          <w:szCs w:val="32"/>
          <w:u w:color="000000"/>
          <w:lang w:val="zh-TW" w:eastAsia="zh-TW"/>
        </w:rPr>
      </w:pPr>
      <w:r>
        <w:rPr>
          <w:rFonts w:hint="eastAsia" w:ascii="黑体" w:hAnsi="黑体" w:eastAsia="黑体" w:cs="仿宋_GB2312"/>
          <w:bCs/>
          <w:kern w:val="0"/>
          <w:sz w:val="32"/>
          <w:szCs w:val="32"/>
          <w:u w:color="000000"/>
          <w:lang w:val="zh-TW" w:eastAsia="zh-TW"/>
        </w:rPr>
        <w:t>六、项目评价工作情况</w:t>
      </w:r>
    </w:p>
    <w:p>
      <w:pPr>
        <w:adjustRightInd w:val="0"/>
        <w:snapToGrid w:val="0"/>
        <w:spacing w:line="560" w:lineRule="exact"/>
        <w:ind w:firstLine="640" w:firstLineChars="200"/>
        <w:outlineLvl w:val="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查阅安居富民项目的报账手续等档案资料是否齐全，查看会计记账凭证项目资金是否使用正确和资金是否发放完毕，与受益群众进行座谈等方式了解项目实施的效果及带来的社会效益。</w:t>
      </w:r>
    </w:p>
    <w:p>
      <w:pPr>
        <w:adjustRightInd w:val="0"/>
        <w:snapToGrid w:val="0"/>
        <w:spacing w:line="560" w:lineRule="exact"/>
        <w:ind w:firstLine="640" w:firstLineChars="200"/>
        <w:outlineLvl w:val="0"/>
        <w:rPr>
          <w:rFonts w:ascii="黑体" w:hAnsi="黑体" w:eastAsia="黑体" w:cs="仿宋_GB2312"/>
          <w:bCs/>
          <w:kern w:val="0"/>
          <w:sz w:val="32"/>
          <w:szCs w:val="32"/>
          <w:u w:color="000000"/>
          <w:lang w:val="zh-TW" w:eastAsia="zh-TW"/>
        </w:rPr>
      </w:pPr>
      <w:r>
        <w:rPr>
          <w:rFonts w:hint="eastAsia" w:ascii="黑体" w:hAnsi="黑体" w:eastAsia="黑体" w:cs="仿宋_GB2312"/>
          <w:bCs/>
          <w:kern w:val="0"/>
          <w:sz w:val="32"/>
          <w:szCs w:val="32"/>
          <w:u w:color="000000"/>
          <w:lang w:val="zh-TW" w:eastAsia="zh-TW"/>
        </w:rPr>
        <w:t>七、附表</w:t>
      </w:r>
    </w:p>
    <w:p>
      <w:pPr>
        <w:adjustRightInd w:val="0"/>
        <w:snapToGrid w:val="0"/>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《项目支出绩效目标自评表》</w:t>
      </w:r>
    </w:p>
    <w:p>
      <w:pPr>
        <w:adjustRightInd w:val="0"/>
        <w:snapToGrid w:val="0"/>
        <w:spacing w:line="560" w:lineRule="exact"/>
        <w:ind w:firstLine="643" w:firstLineChars="200"/>
        <w:rPr>
          <w:rFonts w:ascii="仿宋_GB2312" w:hAnsi="仿宋_GB2312" w:eastAsia="仿宋_GB2312" w:cs="仿宋_GB2312"/>
          <w:b/>
          <w:bCs/>
          <w:kern w:val="0"/>
          <w:sz w:val="32"/>
          <w:szCs w:val="32"/>
          <w:u w:color="000000"/>
          <w:lang w:val="zh-TW" w:eastAsia="zh-TW"/>
        </w:rPr>
      </w:pPr>
    </w:p>
    <w:p>
      <w:pPr>
        <w:adjustRightInd w:val="0"/>
        <w:snapToGrid w:val="0"/>
        <w:spacing w:line="560" w:lineRule="exact"/>
        <w:ind w:firstLine="627" w:firstLineChars="200"/>
        <w:rPr>
          <w:rStyle w:val="19"/>
          <w:rFonts w:ascii="仿宋" w:hAnsi="仿宋" w:eastAsia="仿宋"/>
          <w:spacing w:val="-4"/>
          <w:sz w:val="32"/>
          <w:szCs w:val="32"/>
        </w:rPr>
      </w:pPr>
    </w:p>
    <w:p>
      <w:pPr>
        <w:adjustRightInd w:val="0"/>
        <w:snapToGrid w:val="0"/>
        <w:spacing w:line="560" w:lineRule="exact"/>
        <w:ind w:firstLine="627" w:firstLineChars="200"/>
        <w:rPr>
          <w:rStyle w:val="19"/>
          <w:rFonts w:ascii="仿宋" w:hAnsi="仿宋" w:eastAsia="仿宋"/>
          <w:spacing w:val="-4"/>
          <w:sz w:val="32"/>
          <w:szCs w:val="32"/>
        </w:rPr>
      </w:pPr>
    </w:p>
    <w:p>
      <w:pPr>
        <w:adjustRightInd w:val="0"/>
        <w:snapToGrid w:val="0"/>
        <w:spacing w:line="560" w:lineRule="exact"/>
        <w:ind w:firstLine="627" w:firstLineChars="200"/>
        <w:rPr>
          <w:rStyle w:val="19"/>
          <w:rFonts w:ascii="仿宋" w:hAnsi="仿宋" w:eastAsia="仿宋"/>
          <w:spacing w:val="-4"/>
          <w:sz w:val="32"/>
          <w:szCs w:val="32"/>
        </w:rPr>
      </w:pPr>
    </w:p>
    <w:p>
      <w:pPr>
        <w:adjustRightInd w:val="0"/>
        <w:snapToGrid w:val="0"/>
        <w:spacing w:line="560" w:lineRule="exact"/>
        <w:ind w:firstLine="627" w:firstLineChars="200"/>
        <w:rPr>
          <w:rStyle w:val="19"/>
          <w:rFonts w:ascii="仿宋" w:hAnsi="仿宋" w:eastAsia="仿宋"/>
          <w:spacing w:val="-4"/>
          <w:sz w:val="32"/>
          <w:szCs w:val="32"/>
        </w:rPr>
      </w:pPr>
    </w:p>
    <w:p>
      <w:pPr>
        <w:adjustRightInd w:val="0"/>
        <w:snapToGrid w:val="0"/>
        <w:spacing w:line="560" w:lineRule="exact"/>
        <w:ind w:firstLine="627" w:firstLineChars="200"/>
        <w:rPr>
          <w:rStyle w:val="19"/>
          <w:rFonts w:ascii="仿宋" w:hAnsi="仿宋" w:eastAsia="仿宋"/>
          <w:spacing w:val="-4"/>
          <w:sz w:val="32"/>
          <w:szCs w:val="32"/>
        </w:rPr>
      </w:pPr>
    </w:p>
    <w:p>
      <w:pPr>
        <w:adjustRightInd w:val="0"/>
        <w:snapToGrid w:val="0"/>
        <w:spacing w:line="560" w:lineRule="exact"/>
        <w:ind w:firstLine="627" w:firstLineChars="200"/>
        <w:rPr>
          <w:rStyle w:val="19"/>
          <w:rFonts w:ascii="仿宋" w:hAnsi="仿宋" w:eastAsia="仿宋"/>
          <w:spacing w:val="-4"/>
          <w:sz w:val="32"/>
          <w:szCs w:val="32"/>
        </w:rPr>
      </w:pPr>
    </w:p>
    <w:p>
      <w:pPr>
        <w:adjustRightInd w:val="0"/>
        <w:snapToGrid w:val="0"/>
        <w:spacing w:line="560" w:lineRule="exact"/>
        <w:ind w:firstLine="627" w:firstLineChars="200"/>
        <w:rPr>
          <w:rStyle w:val="19"/>
          <w:rFonts w:ascii="仿宋" w:hAnsi="仿宋" w:eastAsia="仿宋"/>
          <w:spacing w:val="-4"/>
          <w:sz w:val="32"/>
          <w:szCs w:val="32"/>
        </w:rPr>
      </w:pPr>
    </w:p>
    <w:p>
      <w:pPr>
        <w:adjustRightInd w:val="0"/>
        <w:snapToGrid w:val="0"/>
        <w:spacing w:line="560" w:lineRule="exact"/>
        <w:rPr>
          <w:rStyle w:val="19"/>
          <w:rFonts w:ascii="仿宋" w:hAnsi="仿宋" w:eastAsia="仿宋"/>
          <w:spacing w:val="-4"/>
          <w:sz w:val="32"/>
          <w:szCs w:val="32"/>
        </w:rPr>
      </w:pPr>
    </w:p>
    <w:sectPr>
      <w:footerReference r:id="rId3" w:type="default"/>
      <w:pgSz w:w="11906" w:h="16838"/>
      <w:pgMar w:top="1418" w:right="1418" w:bottom="1418" w:left="1418"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华文中宋">
    <w:altName w:val="宋体"/>
    <w:panose1 w:val="00000000000000000000"/>
    <w:charset w:val="86"/>
    <w:family w:val="auto"/>
    <w:pitch w:val="default"/>
    <w:sig w:usb0="00000000" w:usb1="00000000" w:usb2="00000010" w:usb3="00000000" w:csb0="000400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67A09"/>
    <w:rsid w:val="00072DA5"/>
    <w:rsid w:val="00076EF8"/>
    <w:rsid w:val="00080D60"/>
    <w:rsid w:val="00085D66"/>
    <w:rsid w:val="00087D38"/>
    <w:rsid w:val="0009402C"/>
    <w:rsid w:val="0012208E"/>
    <w:rsid w:val="00135256"/>
    <w:rsid w:val="0014195D"/>
    <w:rsid w:val="00156F08"/>
    <w:rsid w:val="001732C4"/>
    <w:rsid w:val="00175D78"/>
    <w:rsid w:val="00183CF4"/>
    <w:rsid w:val="001A4E1F"/>
    <w:rsid w:val="001A57B9"/>
    <w:rsid w:val="001B2C87"/>
    <w:rsid w:val="001C3847"/>
    <w:rsid w:val="001D7675"/>
    <w:rsid w:val="001F2128"/>
    <w:rsid w:val="001F3031"/>
    <w:rsid w:val="00204D1C"/>
    <w:rsid w:val="00210A26"/>
    <w:rsid w:val="002302ED"/>
    <w:rsid w:val="002A2532"/>
    <w:rsid w:val="002B691D"/>
    <w:rsid w:val="00360EE9"/>
    <w:rsid w:val="00365250"/>
    <w:rsid w:val="0036624C"/>
    <w:rsid w:val="00385849"/>
    <w:rsid w:val="00397290"/>
    <w:rsid w:val="003D7A07"/>
    <w:rsid w:val="004006B1"/>
    <w:rsid w:val="00433C26"/>
    <w:rsid w:val="00433CB5"/>
    <w:rsid w:val="00442CA2"/>
    <w:rsid w:val="00463241"/>
    <w:rsid w:val="00471E0A"/>
    <w:rsid w:val="00472A19"/>
    <w:rsid w:val="0050167F"/>
    <w:rsid w:val="00514506"/>
    <w:rsid w:val="00514D09"/>
    <w:rsid w:val="005162F1"/>
    <w:rsid w:val="00516E80"/>
    <w:rsid w:val="00535153"/>
    <w:rsid w:val="00575CFE"/>
    <w:rsid w:val="00583AFC"/>
    <w:rsid w:val="00592D09"/>
    <w:rsid w:val="005B0FC6"/>
    <w:rsid w:val="005B5FC4"/>
    <w:rsid w:val="005E1DC4"/>
    <w:rsid w:val="005F038F"/>
    <w:rsid w:val="006013D5"/>
    <w:rsid w:val="0061573D"/>
    <w:rsid w:val="00615C41"/>
    <w:rsid w:val="00646417"/>
    <w:rsid w:val="00675C56"/>
    <w:rsid w:val="00675D58"/>
    <w:rsid w:val="006C5A91"/>
    <w:rsid w:val="006F2E6D"/>
    <w:rsid w:val="007218B8"/>
    <w:rsid w:val="00736BAA"/>
    <w:rsid w:val="0073776D"/>
    <w:rsid w:val="00745E3E"/>
    <w:rsid w:val="00755C6A"/>
    <w:rsid w:val="00765CF1"/>
    <w:rsid w:val="0077497A"/>
    <w:rsid w:val="00777E4F"/>
    <w:rsid w:val="00785D8F"/>
    <w:rsid w:val="00785FDE"/>
    <w:rsid w:val="007A0351"/>
    <w:rsid w:val="007A14BC"/>
    <w:rsid w:val="007A1B6C"/>
    <w:rsid w:val="007B6B97"/>
    <w:rsid w:val="007C1025"/>
    <w:rsid w:val="007D1E05"/>
    <w:rsid w:val="007E6845"/>
    <w:rsid w:val="007F5F8A"/>
    <w:rsid w:val="007F6A93"/>
    <w:rsid w:val="00800E6C"/>
    <w:rsid w:val="00811092"/>
    <w:rsid w:val="0081143A"/>
    <w:rsid w:val="00826CA1"/>
    <w:rsid w:val="00830672"/>
    <w:rsid w:val="00835B7F"/>
    <w:rsid w:val="00855E3A"/>
    <w:rsid w:val="008C7045"/>
    <w:rsid w:val="00922CB9"/>
    <w:rsid w:val="009312C8"/>
    <w:rsid w:val="009350F7"/>
    <w:rsid w:val="0099560C"/>
    <w:rsid w:val="009B478C"/>
    <w:rsid w:val="009B526F"/>
    <w:rsid w:val="009B7FB9"/>
    <w:rsid w:val="009C1AFD"/>
    <w:rsid w:val="00A26421"/>
    <w:rsid w:val="00A32A61"/>
    <w:rsid w:val="00A4293B"/>
    <w:rsid w:val="00A7472B"/>
    <w:rsid w:val="00A83BD5"/>
    <w:rsid w:val="00A96C6C"/>
    <w:rsid w:val="00A977DF"/>
    <w:rsid w:val="00B06CA5"/>
    <w:rsid w:val="00B41F61"/>
    <w:rsid w:val="00B47B6A"/>
    <w:rsid w:val="00B55332"/>
    <w:rsid w:val="00B61F44"/>
    <w:rsid w:val="00B86E8C"/>
    <w:rsid w:val="00BA3240"/>
    <w:rsid w:val="00BA5C62"/>
    <w:rsid w:val="00BB2D85"/>
    <w:rsid w:val="00BC79A6"/>
    <w:rsid w:val="00BE1A00"/>
    <w:rsid w:val="00BF13DC"/>
    <w:rsid w:val="00C22CF0"/>
    <w:rsid w:val="00C30DBF"/>
    <w:rsid w:val="00C41A32"/>
    <w:rsid w:val="00C56C72"/>
    <w:rsid w:val="00C57A85"/>
    <w:rsid w:val="00C679E4"/>
    <w:rsid w:val="00CA4E76"/>
    <w:rsid w:val="00CA6457"/>
    <w:rsid w:val="00CC40B9"/>
    <w:rsid w:val="00CC6E4D"/>
    <w:rsid w:val="00CD2CEB"/>
    <w:rsid w:val="00D033A6"/>
    <w:rsid w:val="00D17F2E"/>
    <w:rsid w:val="00D46194"/>
    <w:rsid w:val="00D57D7D"/>
    <w:rsid w:val="00D81A59"/>
    <w:rsid w:val="00D946D4"/>
    <w:rsid w:val="00DA39FB"/>
    <w:rsid w:val="00DC3DAF"/>
    <w:rsid w:val="00DD5F18"/>
    <w:rsid w:val="00DD7890"/>
    <w:rsid w:val="00E01293"/>
    <w:rsid w:val="00E027D1"/>
    <w:rsid w:val="00E02999"/>
    <w:rsid w:val="00E524CA"/>
    <w:rsid w:val="00E66D2B"/>
    <w:rsid w:val="00E769FE"/>
    <w:rsid w:val="00E84F64"/>
    <w:rsid w:val="00EA2CBE"/>
    <w:rsid w:val="00EB0666"/>
    <w:rsid w:val="00EC11A1"/>
    <w:rsid w:val="00F32FEE"/>
    <w:rsid w:val="00F36573"/>
    <w:rsid w:val="00F43D71"/>
    <w:rsid w:val="00FB3E0D"/>
    <w:rsid w:val="33ED5305"/>
    <w:rsid w:val="44EF18C2"/>
    <w:rsid w:val="796635A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99"/>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qFormat/>
    <w:uiPriority w:val="9"/>
    <w:rPr>
      <w:rFonts w:asciiTheme="majorHAnsi" w:hAnsiTheme="majorHAnsi" w:eastAsiaTheme="majorEastAsia"/>
      <w:b/>
      <w:bCs/>
      <w:kern w:val="32"/>
      <w:sz w:val="32"/>
      <w:szCs w:val="32"/>
    </w:rPr>
  </w:style>
  <w:style w:type="character" w:customStyle="1" w:styleId="22">
    <w:name w:val="标题 2 Char"/>
    <w:basedOn w:val="18"/>
    <w:link w:val="3"/>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qFormat/>
    <w:uiPriority w:val="9"/>
    <w:rPr>
      <w:sz w:val="24"/>
      <w:szCs w:val="24"/>
    </w:rPr>
  </w:style>
  <w:style w:type="character" w:customStyle="1" w:styleId="28">
    <w:name w:val="标题 8 Char"/>
    <w:basedOn w:val="18"/>
    <w:link w:val="9"/>
    <w:semiHidden/>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6"/>
    <w:qFormat/>
    <w:uiPriority w:val="10"/>
    <w:rPr>
      <w:rFonts w:asciiTheme="majorHAnsi" w:hAnsiTheme="majorHAnsi" w:eastAsiaTheme="majorEastAsia"/>
      <w:b/>
      <w:bCs/>
      <w:kern w:val="28"/>
      <w:sz w:val="32"/>
      <w:szCs w:val="32"/>
    </w:rPr>
  </w:style>
  <w:style w:type="character" w:customStyle="1" w:styleId="31">
    <w:name w:val="副标题 Char"/>
    <w:basedOn w:val="18"/>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Char"/>
    <w:basedOn w:val="18"/>
    <w:link w:val="14"/>
    <w:qFormat/>
    <w:uiPriority w:val="99"/>
    <w:rPr>
      <w:rFonts w:ascii="Calibri" w:hAnsi="Calibri" w:eastAsia="宋体"/>
      <w:kern w:val="2"/>
      <w:sz w:val="18"/>
      <w:szCs w:val="18"/>
    </w:rPr>
  </w:style>
  <w:style w:type="character" w:customStyle="1" w:styleId="45">
    <w:name w:val="页脚 Char"/>
    <w:basedOn w:val="18"/>
    <w:link w:val="13"/>
    <w:qFormat/>
    <w:uiPriority w:val="99"/>
    <w:rPr>
      <w:rFonts w:ascii="Calibri" w:hAnsi="Calibri" w:eastAsia="宋体"/>
      <w:kern w:val="2"/>
      <w:sz w:val="18"/>
      <w:szCs w:val="18"/>
    </w:rPr>
  </w:style>
  <w:style w:type="character" w:customStyle="1" w:styleId="46">
    <w:name w:val="文档结构图 Char"/>
    <w:basedOn w:val="18"/>
    <w:link w:val="11"/>
    <w:semiHidden/>
    <w:qFormat/>
    <w:uiPriority w:val="99"/>
    <w:rPr>
      <w:rFonts w:ascii="宋体" w:hAnsi="Times New Roman" w:eastAsia="宋体"/>
      <w:kern w:val="2"/>
      <w:sz w:val="18"/>
      <w:szCs w:val="18"/>
    </w:rPr>
  </w:style>
  <w:style w:type="character" w:customStyle="1" w:styleId="47">
    <w:name w:val="批注框文本 Char"/>
    <w:basedOn w:val="18"/>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5F9EF8A-6D8D-47DA-BC81-C8D8529B7E85}">
  <ds:schemaRefs/>
</ds:datastoreItem>
</file>

<file path=docProps/app.xml><?xml version="1.0" encoding="utf-8"?>
<Properties xmlns="http://schemas.openxmlformats.org/officeDocument/2006/extended-properties" xmlns:vt="http://schemas.openxmlformats.org/officeDocument/2006/docPropsVTypes">
  <Template>Normal.dotm</Template>
  <Pages>7</Pages>
  <Words>436</Words>
  <Characters>2489</Characters>
  <Lines>20</Lines>
  <Paragraphs>5</Paragraphs>
  <TotalTime>141</TotalTime>
  <ScaleCrop>false</ScaleCrop>
  <LinksUpToDate>false</LinksUpToDate>
  <CharactersWithSpaces>2920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2024-02-27T04:01:34Z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