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仿宋" w:hAnsi="仿宋" w:eastAsia="仿宋" w:cs="宋体"/>
          <w:kern w:val="0"/>
          <w:sz w:val="32"/>
          <w:szCs w:val="32"/>
        </w:rPr>
      </w:pPr>
    </w:p>
    <w:p>
      <w:pPr>
        <w:spacing w:line="540" w:lineRule="exact"/>
        <w:jc w:val="center"/>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r>
        <w:rPr>
          <w:rFonts w:hint="eastAsia" w:ascii="黑体" w:hAnsi="黑体" w:eastAsia="黑体" w:cs="黑体"/>
          <w:bCs/>
          <w:sz w:val="44"/>
          <w:szCs w:val="44"/>
        </w:rPr>
        <w:t>自治区财政项目支出绩效自评报告</w:t>
      </w: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firstLine="640" w:firstLineChars="200"/>
        <w:jc w:val="left"/>
        <w:rPr>
          <w:rFonts w:ascii="黑体" w:hAnsi="黑体" w:eastAsia="黑体" w:cs="宋体"/>
          <w:kern w:val="0"/>
          <w:sz w:val="32"/>
          <w:szCs w:val="32"/>
        </w:rPr>
      </w:pPr>
      <w:r>
        <w:rPr>
          <w:rFonts w:hint="eastAsia" w:ascii="黑体" w:hAnsi="黑体" w:eastAsia="黑体" w:cs="宋体"/>
          <w:kern w:val="0"/>
          <w:sz w:val="32"/>
          <w:szCs w:val="32"/>
        </w:rPr>
        <w:t>项目名称：彩票公益金项目</w:t>
      </w:r>
    </w:p>
    <w:p>
      <w:pPr>
        <w:spacing w:line="700" w:lineRule="exact"/>
        <w:ind w:firstLine="640" w:firstLineChars="200"/>
        <w:jc w:val="left"/>
        <w:rPr>
          <w:rFonts w:ascii="黑体" w:hAnsi="黑体" w:eastAsia="黑体" w:cs="宋体"/>
          <w:kern w:val="0"/>
          <w:sz w:val="32"/>
          <w:szCs w:val="32"/>
        </w:rPr>
      </w:pPr>
      <w:r>
        <w:rPr>
          <w:rFonts w:hint="eastAsia" w:ascii="黑体" w:hAnsi="黑体" w:eastAsia="黑体" w:cs="宋体"/>
          <w:kern w:val="0"/>
          <w:sz w:val="32"/>
          <w:szCs w:val="32"/>
        </w:rPr>
        <w:t>实施单位（公章）：叶城县乌吉热克乡人民政府</w:t>
      </w:r>
    </w:p>
    <w:p>
      <w:pPr>
        <w:spacing w:line="700" w:lineRule="exact"/>
        <w:ind w:firstLine="640" w:firstLineChars="200"/>
        <w:jc w:val="left"/>
        <w:rPr>
          <w:rFonts w:ascii="黑体" w:hAnsi="黑体" w:eastAsia="黑体" w:cs="宋体"/>
          <w:kern w:val="0"/>
          <w:sz w:val="32"/>
          <w:szCs w:val="32"/>
        </w:rPr>
      </w:pPr>
      <w:r>
        <w:rPr>
          <w:rFonts w:hint="eastAsia" w:ascii="黑体" w:hAnsi="黑体" w:eastAsia="黑体" w:cs="宋体"/>
          <w:kern w:val="0"/>
          <w:sz w:val="32"/>
          <w:szCs w:val="32"/>
        </w:rPr>
        <w:t>主管部门（公章）：叶城县乌吉热克乡人民政府</w:t>
      </w:r>
    </w:p>
    <w:p>
      <w:pPr>
        <w:spacing w:line="700" w:lineRule="exact"/>
        <w:ind w:firstLine="640" w:firstLineChars="200"/>
        <w:jc w:val="left"/>
        <w:rPr>
          <w:rFonts w:ascii="黑体" w:hAnsi="黑体" w:eastAsia="黑体" w:cs="宋体"/>
          <w:kern w:val="0"/>
          <w:sz w:val="32"/>
          <w:szCs w:val="32"/>
        </w:rPr>
      </w:pPr>
      <w:r>
        <w:rPr>
          <w:rFonts w:hint="eastAsia" w:ascii="黑体" w:hAnsi="黑体" w:eastAsia="黑体" w:cs="宋体"/>
          <w:kern w:val="0"/>
          <w:sz w:val="32"/>
          <w:szCs w:val="32"/>
        </w:rPr>
        <w:t>项目负责人（签章）：齐福宝</w:t>
      </w:r>
    </w:p>
    <w:p>
      <w:pPr>
        <w:spacing w:line="700" w:lineRule="exact"/>
        <w:ind w:firstLine="640" w:firstLineChars="200"/>
        <w:jc w:val="left"/>
        <w:rPr>
          <w:rFonts w:ascii="黑体" w:hAnsi="黑体" w:eastAsia="黑体" w:cs="宋体"/>
          <w:kern w:val="0"/>
          <w:sz w:val="32"/>
          <w:szCs w:val="32"/>
        </w:rPr>
      </w:pPr>
      <w:r>
        <w:rPr>
          <w:rFonts w:hint="eastAsia" w:ascii="黑体" w:hAnsi="黑体" w:eastAsia="黑体" w:cs="宋体"/>
          <w:kern w:val="0"/>
          <w:sz w:val="32"/>
          <w:szCs w:val="32"/>
        </w:rPr>
        <w:t>填报时间：2018年12月25日</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一、项目概况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（一）项目单位基本情况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叶城县乌吉热克乡属党政机关行政部门，乡科级行政单位，辖</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8个行政村；全乡共有农牧民</w:t>
      </w:r>
      <w:r>
        <w:rPr>
          <w:rFonts w:ascii="仿宋_GB2312" w:hAnsi="仿宋_GB2312" w:eastAsia="仿宋_GB2312" w:cs="仿宋_GB2312"/>
          <w:kern w:val="0"/>
          <w:sz w:val="32"/>
          <w:szCs w:val="32"/>
          <w:u w:color="000000"/>
          <w:lang w:val="zh-TW" w:eastAsia="zh-TW"/>
        </w:rPr>
        <w:t>25682</w:t>
      </w:r>
      <w:r>
        <w:rPr>
          <w:rFonts w:hint="eastAsia" w:ascii="仿宋_GB2312" w:hAnsi="仿宋_GB2312" w:eastAsia="仿宋_GB2312" w:cs="仿宋_GB2312"/>
          <w:kern w:val="0"/>
          <w:sz w:val="32"/>
          <w:szCs w:val="32"/>
          <w:u w:color="000000"/>
          <w:lang w:val="zh-TW" w:eastAsia="zh-TW"/>
        </w:rPr>
        <w:t>多人，农户</w:t>
      </w:r>
      <w:r>
        <w:rPr>
          <w:rFonts w:ascii="仿宋_GB2312" w:hAnsi="仿宋_GB2312" w:eastAsia="仿宋_GB2312" w:cs="仿宋_GB2312"/>
          <w:kern w:val="0"/>
          <w:sz w:val="32"/>
          <w:szCs w:val="32"/>
          <w:u w:color="000000"/>
          <w:lang w:val="zh-TW" w:eastAsia="zh-TW"/>
        </w:rPr>
        <w:t>5771</w:t>
      </w:r>
      <w:r>
        <w:rPr>
          <w:rFonts w:hint="eastAsia" w:ascii="仿宋_GB2312" w:hAnsi="仿宋_GB2312" w:eastAsia="仿宋_GB2312" w:cs="仿宋_GB2312"/>
          <w:kern w:val="0"/>
          <w:sz w:val="32"/>
          <w:szCs w:val="32"/>
          <w:u w:color="000000"/>
          <w:lang w:val="zh-TW" w:eastAsia="zh-TW"/>
        </w:rPr>
        <w:t>户，主要以种植核桃、小麦、玉米、设施农业为主，是叶城县农业大乡。编制情况：编制81人，其中行政编制62人，参照公务员法管理人员1人，财政补助人员18人。</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乌吉热克乡人民政府为乡级党政机关，编制党委、政府机构，根据县要求，于</w:t>
      </w:r>
      <w:r>
        <w:rPr>
          <w:rFonts w:ascii="仿宋_GB2312" w:hAnsi="仿宋_GB2312" w:eastAsia="仿宋_GB2312" w:cs="仿宋_GB2312"/>
          <w:kern w:val="0"/>
          <w:sz w:val="32"/>
          <w:szCs w:val="32"/>
          <w:u w:color="000000"/>
          <w:lang w:val="zh-TW" w:eastAsia="zh-TW"/>
        </w:rPr>
        <w:t>2015</w:t>
      </w:r>
      <w:r>
        <w:rPr>
          <w:rFonts w:hint="eastAsia" w:ascii="仿宋_GB2312" w:hAnsi="仿宋_GB2312" w:eastAsia="仿宋_GB2312" w:cs="仿宋_GB2312"/>
          <w:kern w:val="0"/>
          <w:sz w:val="32"/>
          <w:szCs w:val="32"/>
          <w:u w:color="000000"/>
          <w:lang w:val="zh-TW" w:eastAsia="zh-TW"/>
        </w:rPr>
        <w:t>年</w:t>
      </w:r>
      <w:r>
        <w:rPr>
          <w:rFonts w:ascii="仿宋_GB2312" w:hAnsi="仿宋_GB2312" w:eastAsia="仿宋_GB2312" w:cs="仿宋_GB2312"/>
          <w:kern w:val="0"/>
          <w:sz w:val="32"/>
          <w:szCs w:val="32"/>
          <w:u w:color="000000"/>
          <w:lang w:val="zh-TW" w:eastAsia="zh-TW"/>
        </w:rPr>
        <w:t>10</w:t>
      </w:r>
      <w:r>
        <w:rPr>
          <w:rFonts w:hint="eastAsia" w:ascii="仿宋_GB2312" w:hAnsi="仿宋_GB2312" w:eastAsia="仿宋_GB2312" w:cs="仿宋_GB2312"/>
          <w:kern w:val="0"/>
          <w:sz w:val="32"/>
          <w:szCs w:val="32"/>
          <w:u w:color="000000"/>
          <w:lang w:val="zh-TW" w:eastAsia="zh-TW"/>
        </w:rPr>
        <w:t>月，把七</w:t>
      </w:r>
      <w:bookmarkStart w:id="0" w:name="_GoBack"/>
      <w:bookmarkEnd w:id="0"/>
      <w:r>
        <w:rPr>
          <w:rFonts w:hint="eastAsia" w:ascii="仿宋_GB2312" w:hAnsi="仿宋_GB2312" w:eastAsia="仿宋_GB2312" w:cs="仿宋_GB2312"/>
          <w:kern w:val="0"/>
          <w:sz w:val="32"/>
          <w:szCs w:val="32"/>
          <w:u w:color="000000"/>
          <w:lang w:val="zh-TW" w:eastAsia="zh-TW"/>
        </w:rPr>
        <w:t>站八所划归乡镇；共设有农业农村经济办、党建办、社会事务办、财政所、民政所等机构。</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主要职能：负责全乡党政行政管理事务。深入贯彻落实党的有关</w:t>
      </w:r>
      <w:r>
        <w:rPr>
          <w:rFonts w:hint="eastAsia" w:ascii="仿宋_GB2312" w:hAnsi="仿宋_GB2312" w:eastAsia="仿宋_GB2312" w:cs="仿宋_GB2312"/>
          <w:kern w:val="0"/>
          <w:sz w:val="32"/>
          <w:szCs w:val="32"/>
          <w:u w:color="000000"/>
          <w:lang w:val="zh-TW" w:eastAsia="zh-CN"/>
        </w:rPr>
        <w:t>方针</w:t>
      </w:r>
      <w:r>
        <w:rPr>
          <w:rFonts w:hint="eastAsia" w:ascii="仿宋_GB2312" w:hAnsi="仿宋_GB2312" w:eastAsia="仿宋_GB2312" w:cs="仿宋_GB2312"/>
          <w:kern w:val="0"/>
          <w:sz w:val="32"/>
          <w:szCs w:val="32"/>
          <w:u w:color="000000"/>
          <w:lang w:val="zh-TW" w:eastAsia="zh-TW"/>
        </w:rPr>
        <w:t>政策指示，把党的各项优惠政策落实到实处，负责全乡经济社会发展、社会事务管理、基层组织建设等全面工作。以全面建设社会主义新农村为根本出发点，不断深化美丽乡村建设，不断铸牢全乡经济社会发展基础，为全乡各族群众提供社会服务。</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（二）项目预算</w:t>
      </w:r>
      <w:r>
        <w:rPr>
          <w:rFonts w:ascii="仿宋_GB2312" w:hAnsi="仿宋_GB2312" w:eastAsia="仿宋_GB2312" w:cs="仿宋_GB2312"/>
          <w:bCs/>
          <w:kern w:val="0"/>
          <w:sz w:val="32"/>
          <w:szCs w:val="32"/>
          <w:u w:color="000000"/>
          <w:lang w:val="zh-TW" w:eastAsia="zh-TW"/>
        </w:rPr>
        <w:t>绩效目标</w:t>
      </w:r>
      <w:r>
        <w:rPr>
          <w:rFonts w:hint="eastAsia" w:ascii="仿宋_GB2312" w:hAnsi="仿宋_GB2312" w:eastAsia="仿宋_GB2312" w:cs="仿宋_GB2312"/>
          <w:bCs/>
          <w:kern w:val="0"/>
          <w:sz w:val="32"/>
          <w:szCs w:val="32"/>
          <w:u w:color="000000"/>
          <w:lang w:val="zh-TW" w:eastAsia="zh-TW"/>
        </w:rPr>
        <w:t>设定情况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乌吉热克乡人民政府彩票公益金项目预算安排总额为11万元，其中财政资金11万元，其他资金0万元，2018年实际收到部门彩票公益金预算资金11万元。</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二、项目资金使用及管理情况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（一）项目资金安排落实、总投入等情况分析</w:t>
      </w:r>
    </w:p>
    <w:p>
      <w:pPr>
        <w:spacing w:line="560" w:lineRule="exact"/>
        <w:ind w:firstLine="640" w:firstLineChars="200"/>
        <w:rPr>
          <w:rFonts w:hAnsi="仿宋_GB2312" w:cs="仿宋_GB2312"/>
          <w:bCs/>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根据新财综（2018）10号、喀地财综（2018）4号文件，乌吉热克乡人民政府彩票公益金项目预算安排总额为11万元，其中财政资金11万元，其他资金0万元，2018年实际收到部门彩票公益金预算资金11万元。</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（二）项目资金实际使用情况分析</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乌吉热克乡人民政府彩票公益金项目实际支付资金11万元，公益事业项目执行率100%。本单位公益事业项目资金主要用于基础设施建设11万元。</w:t>
      </w:r>
    </w:p>
    <w:p>
      <w:pPr>
        <w:adjustRightInd w:val="0"/>
        <w:snapToGrid w:val="0"/>
        <w:spacing w:line="560" w:lineRule="exact"/>
        <w:ind w:firstLine="640" w:firstLineChars="200"/>
        <w:outlineLvl w:val="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根据中央和自治区项目资金管理办法的要求，叶城县乌吉热克乡人民政府严格按照项目资金规定的专项资金支持的项目条件和范围要求，严格按照有关规定使用管理项目资金。</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（三）项目资金管理情况分析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乌吉热克乡人民政府公益事业项目资金符合《行政单位财务管理制度及办法》，包括会计人员集中核算工作管理制度、财务收支审批制度、财务稽核制度、财务牵制制度、会计主管岗位职责等制度规定，公益事业项目的拨付有完整的审批程序和手续，不存在截留、挤占、挪用等情况。</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三、项目组织实施情况</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（一）项目组织情况分析</w:t>
      </w:r>
    </w:p>
    <w:p>
      <w:pPr>
        <w:adjustRightInd w:val="0"/>
        <w:snapToGrid w:val="0"/>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乌吉热克乡2018年彩票公益金项目11万元，基础设施建设支出11万元，严格按照相关财务程序进行招投标，根据合同规定的验收结果进行支付。实施过程均按照本单位制定的管理制度执行。</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（二）项目管理情况分析</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乌吉热克乡人民政府实施公益事业过程中，根据《彩票公益金项目管理办法》等，乌吉热克乡2018年公益事业项目:第一按照实际的需要进行项目申报。第二在获得项目批准后制定并改进项目目标，从各种预备方案中选择做好的实施方案。第三是让项目办的同志配合，提供必要的帮助，并监督项目实施。第四乡项目办定期对项目实施情况进行检查，确保与实施方案同步进行，在发现错误时，随时采取相应的纠正措施。第五组织人员对项目进行正式验收，达到项目有序的结束。</w:t>
      </w:r>
    </w:p>
    <w:p>
      <w:pPr>
        <w:spacing w:line="560" w:lineRule="exact"/>
        <w:ind w:firstLine="640" w:firstLineChars="200"/>
        <w:rPr>
          <w:rFonts w:ascii="黑体" w:hAnsi="黑体" w:eastAsia="黑体" w:cs="仿宋_GB2312"/>
          <w:b/>
          <w:bCs/>
          <w:kern w:val="0"/>
          <w:sz w:val="32"/>
          <w:szCs w:val="32"/>
          <w:u w:color="000000"/>
          <w:lang w:val="zh-TW" w:eastAsia="zh-TW"/>
        </w:rPr>
      </w:pPr>
      <w:r>
        <w:rPr>
          <w:rFonts w:hint="eastAsia" w:ascii="黑体" w:hAnsi="黑体" w:eastAsia="黑体" w:cs="仿宋_GB2312"/>
          <w:bCs/>
          <w:kern w:val="0"/>
          <w:sz w:val="32"/>
          <w:szCs w:val="32"/>
          <w:u w:color="000000"/>
          <w:lang w:val="zh-TW" w:eastAsia="zh-TW"/>
        </w:rPr>
        <w:t>四、项目绩效情况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（一）项目绩效目标完成情况分析</w:t>
      </w:r>
    </w:p>
    <w:p>
      <w:pPr>
        <w:widowControl/>
        <w:spacing w:line="560" w:lineRule="exact"/>
        <w:ind w:firstLine="640" w:firstLineChars="200"/>
        <w:jc w:val="left"/>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本项目共设置一级指标</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个，二级指标7个，三级指标15个，其中已完成三级指标15个，指标完成率为100</w:t>
      </w:r>
      <w:r>
        <w:rPr>
          <w:rFonts w:ascii="仿宋_GB2312" w:hAnsi="仿宋_GB2312" w:eastAsia="仿宋_GB2312" w:cs="仿宋_GB2312"/>
          <w:kern w:val="0"/>
          <w:sz w:val="32"/>
          <w:szCs w:val="32"/>
          <w:u w:color="000000"/>
          <w:lang w:val="zh-TW" w:eastAsia="zh-TW"/>
        </w:rPr>
        <w:t>%</w:t>
      </w:r>
      <w:r>
        <w:rPr>
          <w:rFonts w:hint="eastAsia" w:ascii="仿宋_GB2312" w:hAnsi="仿宋_GB2312" w:eastAsia="仿宋_GB2312" w:cs="仿宋_GB2312"/>
          <w:kern w:val="0"/>
          <w:sz w:val="32"/>
          <w:szCs w:val="32"/>
          <w:u w:color="000000"/>
          <w:lang w:val="zh-TW" w:eastAsia="zh-TW"/>
        </w:rPr>
        <w:t>。根据年初设定的绩效目标，此项目自评得分为</w:t>
      </w:r>
      <w:r>
        <w:rPr>
          <w:rFonts w:hint="eastAsia" w:ascii="仿宋_GB2312" w:hAnsi="仿宋_GB2312" w:eastAsia="仿宋_GB2312" w:cs="仿宋_GB2312"/>
          <w:kern w:val="0"/>
          <w:sz w:val="32"/>
          <w:szCs w:val="32"/>
          <w:u w:color="000000"/>
          <w:lang w:val="en-US" w:eastAsia="zh-CN"/>
        </w:rPr>
        <w:t>86</w:t>
      </w:r>
      <w:r>
        <w:rPr>
          <w:rFonts w:hint="eastAsia" w:ascii="仿宋_GB2312" w:hAnsi="仿宋_GB2312" w:eastAsia="仿宋_GB2312" w:cs="仿宋_GB2312"/>
          <w:kern w:val="0"/>
          <w:sz w:val="32"/>
          <w:szCs w:val="32"/>
          <w:u w:color="000000"/>
          <w:lang w:val="zh-TW" w:eastAsia="zh-TW"/>
        </w:rPr>
        <w:t>分。</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产出指标完成情况分析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）项目完成数量</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数量指标保障情况：跳舞队员衣服50套；台球桌2个；宣传栏20个；健身器材21套；运动员衣服100套.</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）项目完成质量</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质量指标保障情况：购买物品质量全部合格。</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）项目实施进度</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该项目严格按照上级部门的进度要求，资金拨付及时率100%，按项目进度进行资金拨付。目前已经全部实施验收支付完毕。</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）项目成本节约情况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成本指标保障情况：</w:t>
      </w:r>
      <w:r>
        <w:rPr>
          <w:rFonts w:hint="eastAsia" w:ascii="仿宋_GB2312" w:hAnsi="仿宋_GB2312" w:eastAsia="仿宋_GB2312" w:cs="仿宋_GB2312"/>
          <w:kern w:val="0"/>
          <w:sz w:val="32"/>
          <w:szCs w:val="32"/>
          <w:u w:color="000000"/>
          <w:lang w:val="zh-TW" w:eastAsia="zh-TW"/>
        </w:rPr>
        <w:t>跳舞队员衣服单价500元/套；台球桌单价4500元/个；宣传栏单价500元/个；健身器材单价2500元/套；运动员衣服单价135元/套。</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效益指标完成情况分析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1</w:t>
      </w:r>
      <w:r>
        <w:rPr>
          <w:rFonts w:hint="eastAsia" w:ascii="仿宋_GB2312" w:hAnsi="仿宋_GB2312" w:eastAsia="仿宋_GB2312" w:cs="仿宋_GB2312"/>
          <w:kern w:val="0"/>
          <w:sz w:val="32"/>
          <w:szCs w:val="32"/>
          <w:u w:color="000000"/>
          <w:lang w:val="zh-TW" w:eastAsia="zh-TW"/>
        </w:rPr>
        <w:t>）项目实施的经济效益分析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无</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2</w:t>
      </w:r>
      <w:r>
        <w:rPr>
          <w:rFonts w:hint="eastAsia" w:ascii="仿宋_GB2312" w:hAnsi="仿宋_GB2312" w:eastAsia="仿宋_GB2312" w:cs="仿宋_GB2312"/>
          <w:kern w:val="0"/>
          <w:sz w:val="32"/>
          <w:szCs w:val="32"/>
          <w:u w:color="000000"/>
          <w:lang w:val="zh-TW" w:eastAsia="zh-TW"/>
        </w:rPr>
        <w:t>）项目实施的社会效益分析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乌吉热克乡彩票公益金项目，明显提高农户业余生活质量。</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）项目实施的生态效益分析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无</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w:t>
      </w:r>
      <w:r>
        <w:rPr>
          <w:rFonts w:ascii="仿宋_GB2312" w:hAnsi="仿宋_GB2312" w:eastAsia="仿宋_GB2312" w:cs="仿宋_GB2312"/>
          <w:kern w:val="0"/>
          <w:sz w:val="32"/>
          <w:szCs w:val="32"/>
          <w:u w:color="000000"/>
          <w:lang w:val="zh-TW" w:eastAsia="zh-TW"/>
        </w:rPr>
        <w:t>4</w:t>
      </w:r>
      <w:r>
        <w:rPr>
          <w:rFonts w:hint="eastAsia" w:ascii="仿宋_GB2312" w:hAnsi="仿宋_GB2312" w:eastAsia="仿宋_GB2312" w:cs="仿宋_GB2312"/>
          <w:kern w:val="0"/>
          <w:sz w:val="32"/>
          <w:szCs w:val="32"/>
          <w:u w:color="000000"/>
          <w:lang w:val="zh-TW" w:eastAsia="zh-TW"/>
        </w:rPr>
        <w:t>）项目实施的可持续影响分析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 xml:space="preserve">    乌吉热克乡彩票公益金项目购买物品保障可持续5年，</w:t>
      </w:r>
      <w:r>
        <w:rPr>
          <w:rFonts w:hint="eastAsia" w:ascii="仿宋_GB2312" w:hAnsi="仿宋_GB2312" w:eastAsia="仿宋_GB2312" w:cs="仿宋_GB2312"/>
          <w:kern w:val="0"/>
          <w:sz w:val="32"/>
          <w:szCs w:val="32"/>
          <w:u w:color="000000"/>
          <w:lang w:val="zh-TW" w:eastAsia="zh-CN"/>
        </w:rPr>
        <w:t>截至目前</w:t>
      </w:r>
      <w:r>
        <w:rPr>
          <w:rFonts w:hint="eastAsia" w:ascii="仿宋_GB2312" w:hAnsi="仿宋_GB2312" w:eastAsia="仿宋_GB2312" w:cs="仿宋_GB2312"/>
          <w:kern w:val="0"/>
          <w:sz w:val="32"/>
          <w:szCs w:val="32"/>
          <w:u w:color="000000"/>
          <w:lang w:val="zh-TW" w:eastAsia="zh-TW"/>
        </w:rPr>
        <w:t>可持续影响指标未出现偏差</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ascii="仿宋_GB2312" w:hAnsi="仿宋_GB2312" w:eastAsia="仿宋_GB2312" w:cs="仿宋_GB2312"/>
          <w:kern w:val="0"/>
          <w:sz w:val="32"/>
          <w:szCs w:val="32"/>
          <w:u w:color="000000"/>
          <w:lang w:val="zh-TW" w:eastAsia="zh-TW"/>
        </w:rPr>
        <w:t>3.</w:t>
      </w:r>
      <w:r>
        <w:rPr>
          <w:rFonts w:hint="eastAsia" w:ascii="仿宋_GB2312" w:hAnsi="仿宋_GB2312" w:eastAsia="仿宋_GB2312" w:cs="仿宋_GB2312"/>
          <w:kern w:val="0"/>
          <w:sz w:val="32"/>
          <w:szCs w:val="32"/>
          <w:u w:color="000000"/>
          <w:lang w:val="zh-TW" w:eastAsia="zh-TW"/>
        </w:rPr>
        <w:t>满意度指标完成情况分析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按计划完成项目实施，已做满意度调查问卷，群众满意率达98%，服务对象满意度指标完成。</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（二）项目绩效目标未完成原因分析</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2019年本项目绩效目标全部达成，不存在未完成原因分析。</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五、其他需要说明的问题</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（一）后续工作计划</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后续工作计划：2019年我们将一如既往将继续按照上级部门的统一部署和工作安排，认真做好各项工作。</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1、认真做好2019年项目的申报。</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2、切实开展好村级公益事业项目的实施。采取有力措施：一是及时拨付项目资金；二是加大项目跟踪管理，让资金保质保量地支付至商家；三是加快项目资金支付进度，确保当年的资金除去质保金以外全部支付完毕；四是做好项目档案收集与整理，当年的项目全部归档存档；五是做好项目绩效申报与自评，确保项目实施后达到取得的效果，给乡民带来 “看得见、摸得着”的实惠。</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（二）主要经验及做法、存在问题和建议</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各单位根据项目实际实施情况，从资金安排、使用过程中的经验、做法、存在问题、改进措施和有关建议等方面阐述，总结经验，并提出实操过程中存在的问题，一个问题一条建议。</w:t>
      </w:r>
    </w:p>
    <w:p>
      <w:pPr>
        <w:numPr>
          <w:ilvl w:val="0"/>
          <w:numId w:val="1"/>
        </w:num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主要经验及做法</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本次评价通过文件研读、实地调研、数据分析等方式，全面了解2018年彩票公益金项目资金的使用效率和效果，项目管理过程符合相关项目管理制度，完成了预期绩效目标及社会综合效益等。</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2、存在的问题</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通过预算绩效管理，发现了工作中存在的不足，如前期资金使用因村级报账慢的原因未按期支付，导致了资金滞缓，影响了项目的进度，造成了部分资金的浪费。</w:t>
      </w:r>
    </w:p>
    <w:p>
      <w:pPr>
        <w:numPr>
          <w:ilvl w:val="0"/>
          <w:numId w:val="1"/>
        </w:num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建议</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年初做好资金计划，按照项目进度及时拨付资金，使资金使用效益最大化，减少不必要的浪费，节约成本。</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（三）其他</w:t>
      </w:r>
    </w:p>
    <w:p>
      <w:pPr>
        <w:adjustRightInd w:val="0"/>
        <w:snapToGrid w:val="0"/>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无其他说明内容。</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六、项目评价工作情况</w:t>
      </w:r>
    </w:p>
    <w:p>
      <w:pPr>
        <w:spacing w:line="560" w:lineRule="exact"/>
        <w:ind w:firstLine="640" w:firstLineChars="200"/>
        <w:rPr>
          <w:rFonts w:ascii="仿宋_GB2312" w:hAnsi="仿宋_GB2312" w:eastAsia="仿宋_GB2312" w:cs="仿宋_GB2312"/>
          <w:kern w:val="0"/>
          <w:sz w:val="32"/>
          <w:szCs w:val="32"/>
          <w:u w:color="000000"/>
          <w:lang w:val="zh-TW" w:eastAsia="zh-TW"/>
        </w:rPr>
      </w:pPr>
      <w:r>
        <w:rPr>
          <w:rFonts w:hint="eastAsia" w:ascii="仿宋_GB2312" w:hAnsi="仿宋_GB2312" w:eastAsia="仿宋_GB2312" w:cs="仿宋_GB2312"/>
          <w:kern w:val="0"/>
          <w:sz w:val="32"/>
          <w:szCs w:val="32"/>
          <w:u w:color="000000"/>
          <w:lang w:val="zh-TW" w:eastAsia="zh-TW"/>
        </w:rPr>
        <w:t>本次评价通过文件研读、实地调研、数据分析等方式，全面了解2018年彩票公益金项目资金的使用效率和效果，项目管理过程符合相关项目管理制度，完成了预期绩效目标及社会综合效益等。</w:t>
      </w:r>
    </w:p>
    <w:p>
      <w:pPr>
        <w:spacing w:line="560" w:lineRule="exact"/>
        <w:ind w:firstLine="640" w:firstLineChars="200"/>
        <w:rPr>
          <w:rFonts w:ascii="黑体" w:hAnsi="黑体" w:eastAsia="黑体" w:cs="仿宋_GB2312"/>
          <w:bCs/>
          <w:kern w:val="0"/>
          <w:sz w:val="32"/>
          <w:szCs w:val="32"/>
          <w:u w:color="000000"/>
          <w:lang w:val="zh-TW" w:eastAsia="zh-TW"/>
        </w:rPr>
      </w:pPr>
      <w:r>
        <w:rPr>
          <w:rFonts w:hint="eastAsia" w:ascii="黑体" w:hAnsi="黑体" w:eastAsia="黑体" w:cs="仿宋_GB2312"/>
          <w:bCs/>
          <w:kern w:val="0"/>
          <w:sz w:val="32"/>
          <w:szCs w:val="32"/>
          <w:u w:color="000000"/>
          <w:lang w:val="zh-TW" w:eastAsia="zh-TW"/>
        </w:rPr>
        <w:t>七、附表</w:t>
      </w:r>
    </w:p>
    <w:p>
      <w:pPr>
        <w:spacing w:line="560" w:lineRule="exact"/>
        <w:ind w:firstLine="640" w:firstLineChars="200"/>
        <w:rPr>
          <w:rFonts w:ascii="仿宋_GB2312" w:hAnsi="仿宋_GB2312" w:eastAsia="仿宋_GB2312" w:cs="仿宋_GB2312"/>
          <w:bCs/>
          <w:kern w:val="0"/>
          <w:sz w:val="32"/>
          <w:szCs w:val="32"/>
          <w:u w:color="000000"/>
          <w:lang w:val="zh-TW" w:eastAsia="zh-TW"/>
        </w:rPr>
      </w:pPr>
      <w:r>
        <w:rPr>
          <w:rFonts w:hint="eastAsia" w:ascii="仿宋_GB2312" w:hAnsi="仿宋_GB2312" w:eastAsia="仿宋_GB2312" w:cs="仿宋_GB2312"/>
          <w:bCs/>
          <w:kern w:val="0"/>
          <w:sz w:val="32"/>
          <w:szCs w:val="32"/>
          <w:u w:color="000000"/>
          <w:lang w:val="zh-TW" w:eastAsia="zh-TW"/>
        </w:rPr>
        <w:t>《喀什地区财政项目支出绩效自评表》</w:t>
      </w:r>
    </w:p>
    <w:p>
      <w:pPr>
        <w:spacing w:line="560" w:lineRule="exact"/>
        <w:ind w:firstLine="640" w:firstLineChars="200"/>
        <w:rPr>
          <w:rFonts w:ascii="仿宋_GB2312" w:hAnsi="仿宋_GB2312" w:eastAsia="仿宋_GB2312" w:cs="仿宋_GB2312"/>
          <w:bCs/>
          <w:kern w:val="0"/>
          <w:sz w:val="32"/>
          <w:szCs w:val="32"/>
          <w:u w:color="000000"/>
          <w:lang w:val="zh-TW" w:eastAsia="zh-TW"/>
        </w:rPr>
      </w:pPr>
    </w:p>
    <w:p>
      <w:pPr>
        <w:spacing w:line="560" w:lineRule="exact"/>
        <w:ind w:firstLine="640" w:firstLineChars="200"/>
        <w:rPr>
          <w:rFonts w:ascii="仿宋_GB2312" w:hAnsi="仿宋_GB2312" w:eastAsia="仿宋_GB2312" w:cs="仿宋_GB2312"/>
          <w:bCs/>
          <w:kern w:val="0"/>
          <w:sz w:val="32"/>
          <w:szCs w:val="32"/>
          <w:u w:color="000000"/>
          <w:lang w:val="zh-TW" w:eastAsia="zh-TW"/>
        </w:rPr>
      </w:pPr>
    </w:p>
    <w:p>
      <w:pPr>
        <w:spacing w:line="560" w:lineRule="exact"/>
        <w:ind w:firstLine="640" w:firstLineChars="200"/>
        <w:rPr>
          <w:rFonts w:ascii="仿宋_GB2312" w:hAnsi="仿宋_GB2312" w:eastAsia="仿宋_GB2312" w:cs="仿宋_GB2312"/>
          <w:bCs/>
          <w:kern w:val="0"/>
          <w:sz w:val="32"/>
          <w:szCs w:val="32"/>
          <w:u w:color="000000"/>
          <w:lang w:val="zh-TW" w:eastAsia="zh-TW"/>
        </w:rPr>
      </w:pPr>
    </w:p>
    <w:p>
      <w:pPr>
        <w:spacing w:line="560" w:lineRule="exact"/>
        <w:ind w:firstLine="420" w:firstLineChars="200"/>
        <w:rPr>
          <w:rFonts w:ascii="仿宋_GB2312" w:hAnsi="仿宋_GB2312" w:eastAsia="仿宋_GB2312" w:cs="仿宋_GB2312"/>
          <w:bCs/>
          <w:kern w:val="0"/>
          <w:u w:color="000000"/>
          <w:lang w:val="zh-TW" w:eastAsia="zh-TW"/>
        </w:rPr>
      </w:pPr>
    </w:p>
    <w:p>
      <w:pPr>
        <w:spacing w:line="560" w:lineRule="exact"/>
        <w:ind w:firstLine="420" w:firstLineChars="200"/>
        <w:rPr>
          <w:rFonts w:ascii="仿宋_GB2312" w:hAnsi="仿宋_GB2312" w:eastAsia="仿宋_GB2312" w:cs="仿宋_GB2312"/>
          <w:bCs/>
          <w:kern w:val="0"/>
          <w:u w:color="000000"/>
          <w:lang w:val="zh-TW" w:eastAsia="zh-TW"/>
        </w:rPr>
      </w:pPr>
    </w:p>
    <w:p>
      <w:pPr>
        <w:spacing w:line="560" w:lineRule="exact"/>
        <w:ind w:firstLine="420" w:firstLineChars="200"/>
        <w:rPr>
          <w:rFonts w:ascii="仿宋_GB2312" w:hAnsi="仿宋_GB2312" w:eastAsia="仿宋_GB2312" w:cs="仿宋_GB2312"/>
          <w:bCs/>
          <w:kern w:val="0"/>
          <w:u w:color="000000"/>
          <w:lang w:val="zh-TW" w:eastAsia="zh-TW"/>
        </w:rPr>
      </w:pPr>
    </w:p>
    <w:p>
      <w:pPr>
        <w:spacing w:line="560" w:lineRule="exact"/>
        <w:ind w:firstLine="420" w:firstLineChars="200"/>
        <w:rPr>
          <w:rFonts w:ascii="仿宋_GB2312" w:hAnsi="仿宋_GB2312" w:eastAsia="仿宋_GB2312" w:cs="仿宋_GB2312"/>
          <w:bCs/>
          <w:kern w:val="0"/>
          <w:u w:color="000000"/>
          <w:lang w:val="zh-TW" w:eastAsia="zh-TW"/>
        </w:rPr>
      </w:pPr>
    </w:p>
    <w:p>
      <w:pPr>
        <w:spacing w:line="560" w:lineRule="exact"/>
        <w:ind w:firstLine="420" w:firstLineChars="200"/>
        <w:rPr>
          <w:rFonts w:ascii="仿宋_GB2312" w:hAnsi="仿宋_GB2312" w:eastAsia="仿宋_GB2312" w:cs="仿宋_GB2312"/>
          <w:bCs/>
          <w:kern w:val="0"/>
          <w:u w:color="000000"/>
          <w:lang w:val="zh-TW" w:eastAsia="zh-TW"/>
        </w:rPr>
      </w:pPr>
    </w:p>
    <w:p>
      <w:pPr>
        <w:spacing w:line="540" w:lineRule="exact"/>
        <w:ind w:firstLine="567"/>
        <w:rPr>
          <w:rFonts w:ascii="仿宋_GB2312" w:hAnsi="仿宋_GB2312" w:eastAsia="仿宋_GB2312" w:cs="仿宋_GB2312"/>
          <w:bCs/>
          <w:kern w:val="0"/>
          <w:u w:color="000000"/>
          <w:lang w:val="zh-TW" w:eastAsia="zh-TW"/>
        </w:rPr>
      </w:pPr>
    </w:p>
    <w:p>
      <w:pPr>
        <w:spacing w:line="540" w:lineRule="exact"/>
        <w:ind w:firstLine="567"/>
        <w:rPr>
          <w:rFonts w:ascii="仿宋_GB2312" w:hAnsi="仿宋_GB2312" w:eastAsia="仿宋_GB2312" w:cs="仿宋_GB2312"/>
          <w:bCs/>
          <w:kern w:val="0"/>
          <w:u w:color="000000"/>
          <w:lang w:val="zh-TW" w:eastAsia="zh-TW"/>
        </w:rPr>
      </w:pPr>
    </w:p>
    <w:p>
      <w:pPr>
        <w:spacing w:line="540" w:lineRule="exact"/>
        <w:ind w:firstLine="567"/>
        <w:rPr>
          <w:rFonts w:ascii="仿宋_GB2312" w:hAnsi="仿宋_GB2312" w:eastAsia="仿宋_GB2312" w:cs="仿宋_GB2312"/>
          <w:bCs/>
          <w:kern w:val="0"/>
          <w:u w:color="000000"/>
          <w:lang w:val="zh-TW" w:eastAsia="zh-TW"/>
        </w:rPr>
      </w:pPr>
    </w:p>
    <w:p>
      <w:pPr>
        <w:spacing w:line="540" w:lineRule="exact"/>
        <w:ind w:firstLine="567"/>
        <w:rPr>
          <w:rStyle w:val="19"/>
          <w:rFonts w:ascii="仿宋" w:hAnsi="仿宋" w:eastAsia="仿宋"/>
          <w:b w:val="0"/>
          <w:spacing w:val="-4"/>
          <w:sz w:val="32"/>
          <w:szCs w:val="32"/>
        </w:rPr>
      </w:pPr>
    </w:p>
    <w:p>
      <w:pPr>
        <w:spacing w:line="540" w:lineRule="exact"/>
        <w:rPr>
          <w:rStyle w:val="19"/>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微软雅黑"/>
    <w:panose1 w:val="00000000000000000000"/>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402ADE"/>
    <w:multiLevelType w:val="singleLevel"/>
    <w:tmpl w:val="3F402AD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24B35"/>
    <w:rsid w:val="00034E25"/>
    <w:rsid w:val="0004737B"/>
    <w:rsid w:val="00056465"/>
    <w:rsid w:val="000644AA"/>
    <w:rsid w:val="00076282"/>
    <w:rsid w:val="000B5C36"/>
    <w:rsid w:val="000B766C"/>
    <w:rsid w:val="00121AE4"/>
    <w:rsid w:val="00136BCC"/>
    <w:rsid w:val="00146AAD"/>
    <w:rsid w:val="001B23F1"/>
    <w:rsid w:val="001B3A40"/>
    <w:rsid w:val="001D4851"/>
    <w:rsid w:val="001D6A5C"/>
    <w:rsid w:val="001E6F21"/>
    <w:rsid w:val="001F125D"/>
    <w:rsid w:val="00220617"/>
    <w:rsid w:val="0022258C"/>
    <w:rsid w:val="002350B0"/>
    <w:rsid w:val="00311626"/>
    <w:rsid w:val="00321CBD"/>
    <w:rsid w:val="00331541"/>
    <w:rsid w:val="00335618"/>
    <w:rsid w:val="00347D87"/>
    <w:rsid w:val="003507E6"/>
    <w:rsid w:val="0038580F"/>
    <w:rsid w:val="003941D4"/>
    <w:rsid w:val="003C2CF9"/>
    <w:rsid w:val="004366A8"/>
    <w:rsid w:val="004915E0"/>
    <w:rsid w:val="004C31D6"/>
    <w:rsid w:val="00502BA7"/>
    <w:rsid w:val="005162F1"/>
    <w:rsid w:val="00535153"/>
    <w:rsid w:val="00542A7D"/>
    <w:rsid w:val="00550DA5"/>
    <w:rsid w:val="00554F82"/>
    <w:rsid w:val="0056390D"/>
    <w:rsid w:val="005719B0"/>
    <w:rsid w:val="005858D8"/>
    <w:rsid w:val="005B2A64"/>
    <w:rsid w:val="005D10D6"/>
    <w:rsid w:val="0063597F"/>
    <w:rsid w:val="00656E69"/>
    <w:rsid w:val="006E4C97"/>
    <w:rsid w:val="00735E10"/>
    <w:rsid w:val="00760FAB"/>
    <w:rsid w:val="00784630"/>
    <w:rsid w:val="007A48DF"/>
    <w:rsid w:val="007A593B"/>
    <w:rsid w:val="007B2D90"/>
    <w:rsid w:val="007D32F0"/>
    <w:rsid w:val="007E6716"/>
    <w:rsid w:val="00812385"/>
    <w:rsid w:val="00842449"/>
    <w:rsid w:val="00855E3A"/>
    <w:rsid w:val="00867C08"/>
    <w:rsid w:val="00871100"/>
    <w:rsid w:val="008A7ED5"/>
    <w:rsid w:val="008C5AA4"/>
    <w:rsid w:val="008E6B23"/>
    <w:rsid w:val="008F164F"/>
    <w:rsid w:val="008F2612"/>
    <w:rsid w:val="009053DA"/>
    <w:rsid w:val="00922CB9"/>
    <w:rsid w:val="0094274D"/>
    <w:rsid w:val="009433FC"/>
    <w:rsid w:val="00956A53"/>
    <w:rsid w:val="0099379F"/>
    <w:rsid w:val="009A6738"/>
    <w:rsid w:val="009E5CD9"/>
    <w:rsid w:val="009F7B94"/>
    <w:rsid w:val="00A26421"/>
    <w:rsid w:val="00A4293B"/>
    <w:rsid w:val="00A44FFE"/>
    <w:rsid w:val="00A67D50"/>
    <w:rsid w:val="00A8691A"/>
    <w:rsid w:val="00AA13D7"/>
    <w:rsid w:val="00AA78D4"/>
    <w:rsid w:val="00AC1946"/>
    <w:rsid w:val="00AC7A8B"/>
    <w:rsid w:val="00B0237E"/>
    <w:rsid w:val="00B04E46"/>
    <w:rsid w:val="00B203D7"/>
    <w:rsid w:val="00B33C0D"/>
    <w:rsid w:val="00B40063"/>
    <w:rsid w:val="00B41F61"/>
    <w:rsid w:val="00B47CAA"/>
    <w:rsid w:val="00BA2447"/>
    <w:rsid w:val="00BA46E6"/>
    <w:rsid w:val="00BD1DDE"/>
    <w:rsid w:val="00BD2AF2"/>
    <w:rsid w:val="00BF7355"/>
    <w:rsid w:val="00C22935"/>
    <w:rsid w:val="00C56C72"/>
    <w:rsid w:val="00C87A8E"/>
    <w:rsid w:val="00C95952"/>
    <w:rsid w:val="00CA6457"/>
    <w:rsid w:val="00CB0722"/>
    <w:rsid w:val="00CD3698"/>
    <w:rsid w:val="00D17F2E"/>
    <w:rsid w:val="00D30354"/>
    <w:rsid w:val="00D35A5E"/>
    <w:rsid w:val="00D47AC4"/>
    <w:rsid w:val="00D850E3"/>
    <w:rsid w:val="00DC68C9"/>
    <w:rsid w:val="00DD1016"/>
    <w:rsid w:val="00DF42A0"/>
    <w:rsid w:val="00E16529"/>
    <w:rsid w:val="00E16DAF"/>
    <w:rsid w:val="00E2741A"/>
    <w:rsid w:val="00E3080C"/>
    <w:rsid w:val="00E32AE0"/>
    <w:rsid w:val="00E434EA"/>
    <w:rsid w:val="00E4386F"/>
    <w:rsid w:val="00E564B5"/>
    <w:rsid w:val="00E74846"/>
    <w:rsid w:val="00E769FE"/>
    <w:rsid w:val="00E857B3"/>
    <w:rsid w:val="00EA2CBE"/>
    <w:rsid w:val="00F32FEE"/>
    <w:rsid w:val="00FA6695"/>
    <w:rsid w:val="00FB10BB"/>
    <w:rsid w:val="00FB6C38"/>
    <w:rsid w:val="00FC3B55"/>
    <w:rsid w:val="00FC70A4"/>
    <w:rsid w:val="00FE11B9"/>
    <w:rsid w:val="02E37DE9"/>
    <w:rsid w:val="0D5D5A45"/>
    <w:rsid w:val="10656478"/>
    <w:rsid w:val="17E421EC"/>
    <w:rsid w:val="23E56559"/>
    <w:rsid w:val="347362C2"/>
    <w:rsid w:val="34EB26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qFormat/>
    <w:uiPriority w:val="99"/>
    <w:rPr>
      <w:rFonts w:ascii="Calibri" w:hAnsi="Calibri"/>
      <w:sz w:val="24"/>
      <w:szCs w:val="20"/>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99"/>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406</Words>
  <Characters>2319</Characters>
  <Lines>19</Lines>
  <Paragraphs>5</Paragraphs>
  <TotalTime>311</TotalTime>
  <ScaleCrop>false</ScaleCrop>
  <LinksUpToDate>false</LinksUpToDate>
  <CharactersWithSpaces>2720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2019-05-29T08:11:00Z</dcterms:created>
  <dc:creator>赵 恺（预算处）</dc:creator>
  <cp:lastModifiedBy>Administrator</cp:lastModifiedBy>
  <cp:lastPrinted>2018-12-31T10:56:00Z</cp:lastPrinted>
  <dcterms:modified xsi:type="dcterms:W3CDTF">2024-02-27T04:02:08Z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