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年度新疆喀什地区叶城县住房和城乡建设局部门决算公开说明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、贯彻执行国家有关城市建设工作的法律法规、方针和政策。</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、制定并组织实施全县城市建设行业发展规划、计划。</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、制定全县城市建设发展战略。</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、负责全县城市基础设施建设、道路维护、市场管理、行政管理、行政执法和行政复议。</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、监督城市基础设施建设资金的管理、使用。</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、承办县委、县人民政府交办的其他工作。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从决算单位构成看，新疆喀什地区叶城县住房和城乡建设局部门决算包括：新疆喀什地区叶城县住房和城乡建设局部门本级决算、所属单位决算等。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纳入新疆喀什地区叶城县住房和城乡建设局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新疆喀什地区叶城县住房和城乡建设局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99"/>
      <w:bookmarkStart w:id="5" w:name="OLE_LINK100"/>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153,649.43</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116,012.77</w:t>
      </w:r>
      <w:r>
        <w:rPr>
          <w:rFonts w:hint="eastAsia" w:ascii="仿宋_GB2312" w:eastAsia="仿宋_GB2312" w:cs="仿宋_GB2312"/>
          <w:sz w:val="32"/>
          <w:szCs w:val="32"/>
        </w:rPr>
        <w:t>万元，增长</w:t>
      </w:r>
      <w:r>
        <w:rPr>
          <w:rFonts w:ascii="仿宋_GB2312" w:eastAsia="仿宋_GB2312" w:cs="仿宋_GB2312"/>
          <w:sz w:val="32"/>
          <w:szCs w:val="32"/>
        </w:rPr>
        <w:t>308.24%</w:t>
      </w:r>
      <w:r>
        <w:rPr>
          <w:rFonts w:hint="eastAsia" w:ascii="仿宋_GB2312" w:eastAsia="仿宋_GB2312" w:cs="仿宋_GB2312"/>
          <w:sz w:val="32"/>
          <w:szCs w:val="32"/>
        </w:rPr>
        <w:t>，增加的主要原因是：棚户区改造、扶贫农村公路建设项目增加；</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153,649.43</w:t>
      </w:r>
      <w:r>
        <w:rPr>
          <w:rFonts w:hint="eastAsia" w:ascii="仿宋_GB2312" w:eastAsia="仿宋_GB2312" w:cs="仿宋_GB2312"/>
          <w:sz w:val="32"/>
          <w:szCs w:val="32"/>
        </w:rPr>
        <w:t>万元，与上年相比，增加</w:t>
      </w:r>
      <w:r>
        <w:rPr>
          <w:rFonts w:ascii="仿宋_GB2312" w:eastAsia="仿宋_GB2312" w:cs="仿宋_GB2312"/>
          <w:sz w:val="32"/>
          <w:szCs w:val="32"/>
        </w:rPr>
        <w:t>116,012.77</w:t>
      </w:r>
      <w:r>
        <w:rPr>
          <w:rFonts w:hint="eastAsia" w:ascii="仿宋_GB2312" w:eastAsia="仿宋_GB2312" w:cs="仿宋_GB2312"/>
          <w:sz w:val="32"/>
          <w:szCs w:val="32"/>
        </w:rPr>
        <w:t>万元，增长</w:t>
      </w:r>
      <w:r>
        <w:rPr>
          <w:rFonts w:ascii="仿宋_GB2312" w:eastAsia="仿宋_GB2312" w:cs="仿宋_GB2312"/>
          <w:sz w:val="32"/>
          <w:szCs w:val="32"/>
        </w:rPr>
        <w:t>308.24%</w:t>
      </w:r>
      <w:r>
        <w:rPr>
          <w:rFonts w:hint="eastAsia" w:ascii="仿宋_GB2312" w:eastAsia="仿宋_GB2312" w:cs="仿宋_GB2312"/>
          <w:sz w:val="32"/>
          <w:szCs w:val="32"/>
        </w:rPr>
        <w:t>，增加的主要原因是：棚户区改造、扶贫农村公路建设项目增加，人员工资调整；</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w:t>
      </w:r>
      <w:bookmarkEnd w:id="8"/>
      <w:r>
        <w:rPr>
          <w:rFonts w:hint="eastAsia" w:ascii="仿宋_GB2312" w:eastAsia="仿宋_GB2312"/>
          <w:sz w:val="32"/>
          <w:szCs w:val="32"/>
        </w:rPr>
        <w:t>与上年相比，增加0万元，增长0%。增加的主要原因是：与上年相比无增减变化，本单位无结余资金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153,649.43</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92,261.33</w:t>
      </w:r>
      <w:r>
        <w:rPr>
          <w:rFonts w:hint="eastAsia" w:ascii="仿宋_GB2312" w:eastAsia="仿宋_GB2312" w:cs="仿宋_GB2312"/>
          <w:sz w:val="32"/>
          <w:szCs w:val="32"/>
        </w:rPr>
        <w:t>万元，占</w:t>
      </w:r>
      <w:r>
        <w:rPr>
          <w:rFonts w:ascii="仿宋_GB2312" w:eastAsia="仿宋_GB2312" w:cs="仿宋_GB2312"/>
          <w:sz w:val="32"/>
          <w:szCs w:val="32"/>
        </w:rPr>
        <w:t>60.05%</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61,388.1</w:t>
      </w:r>
      <w:r>
        <w:rPr>
          <w:rFonts w:hint="eastAsia" w:ascii="仿宋_GB2312" w:eastAsia="仿宋_GB2312" w:cs="仿宋_GB2312"/>
          <w:sz w:val="32"/>
          <w:szCs w:val="32"/>
        </w:rPr>
        <w:t>万元，占</w:t>
      </w:r>
      <w:r>
        <w:rPr>
          <w:rFonts w:ascii="仿宋_GB2312" w:eastAsia="仿宋_GB2312" w:cs="仿宋_GB2312"/>
          <w:sz w:val="32"/>
          <w:szCs w:val="32"/>
        </w:rPr>
        <w:t>39.95%</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13,530.67</w:t>
      </w:r>
      <w:r>
        <w:rPr>
          <w:rFonts w:hint="eastAsia" w:ascii="仿宋_GB2312" w:eastAsia="仿宋_GB2312" w:cs="仿宋_GB2312"/>
          <w:sz w:val="32"/>
          <w:szCs w:val="32"/>
        </w:rPr>
        <w:t>万元，决算数</w:t>
      </w:r>
      <w:r>
        <w:rPr>
          <w:rFonts w:ascii="仿宋_GB2312" w:eastAsia="仿宋_GB2312" w:cs="仿宋_GB2312"/>
          <w:sz w:val="32"/>
          <w:szCs w:val="32"/>
        </w:rPr>
        <w:t>153,649.43</w:t>
      </w:r>
      <w:r>
        <w:rPr>
          <w:rFonts w:hint="eastAsia" w:ascii="仿宋_GB2312" w:eastAsia="仿宋_GB2312" w:cs="仿宋_GB2312"/>
          <w:sz w:val="32"/>
          <w:szCs w:val="32"/>
        </w:rPr>
        <w:t>万元，预决算差异率</w:t>
      </w:r>
      <w:r>
        <w:rPr>
          <w:rFonts w:ascii="仿宋_GB2312" w:eastAsia="仿宋_GB2312" w:cs="仿宋_GB2312"/>
          <w:sz w:val="32"/>
          <w:szCs w:val="32"/>
        </w:rPr>
        <w:t>1035.56%</w:t>
      </w:r>
      <w:r>
        <w:rPr>
          <w:rFonts w:hint="eastAsia" w:ascii="仿宋_GB2312" w:eastAsia="仿宋_GB2312" w:cs="仿宋_GB2312"/>
          <w:sz w:val="32"/>
          <w:szCs w:val="32"/>
        </w:rPr>
        <w:t>，差异主要原因是棚户区改造、扶贫农村公路建设项目增加，人员工资调整。</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153,649.43</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2,216.61</w:t>
      </w:r>
      <w:r>
        <w:rPr>
          <w:rFonts w:hint="eastAsia" w:ascii="仿宋_GB2312" w:eastAsia="仿宋_GB2312" w:cs="仿宋_GB2312"/>
          <w:sz w:val="32"/>
          <w:szCs w:val="32"/>
        </w:rPr>
        <w:t>万元，占</w:t>
      </w:r>
      <w:r>
        <w:rPr>
          <w:rFonts w:ascii="仿宋_GB2312" w:eastAsia="仿宋_GB2312" w:cs="仿宋_GB2312"/>
          <w:sz w:val="32"/>
          <w:szCs w:val="32"/>
        </w:rPr>
        <w:t>1.44%</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151,432.83</w:t>
      </w:r>
      <w:r>
        <w:rPr>
          <w:rFonts w:hint="eastAsia" w:ascii="仿宋_GB2312" w:eastAsia="仿宋_GB2312" w:cs="仿宋_GB2312"/>
          <w:sz w:val="32"/>
          <w:szCs w:val="32"/>
        </w:rPr>
        <w:t>万元，占</w:t>
      </w:r>
      <w:r>
        <w:rPr>
          <w:rFonts w:ascii="仿宋_GB2312" w:eastAsia="仿宋_GB2312" w:cs="仿宋_GB2312"/>
          <w:sz w:val="32"/>
          <w:szCs w:val="32"/>
        </w:rPr>
        <w:t>98.56%</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13,530.67</w:t>
      </w:r>
      <w:r>
        <w:rPr>
          <w:rFonts w:hint="eastAsia" w:ascii="仿宋_GB2312" w:eastAsia="仿宋_GB2312" w:cs="仿宋_GB2312"/>
          <w:sz w:val="32"/>
          <w:szCs w:val="32"/>
        </w:rPr>
        <w:t>万元，决算数</w:t>
      </w:r>
      <w:r>
        <w:rPr>
          <w:rFonts w:ascii="仿宋_GB2312" w:eastAsia="仿宋_GB2312" w:cs="仿宋_GB2312"/>
          <w:sz w:val="32"/>
          <w:szCs w:val="32"/>
        </w:rPr>
        <w:t>153,649.43</w:t>
      </w:r>
      <w:r>
        <w:rPr>
          <w:rFonts w:hint="eastAsia" w:ascii="仿宋_GB2312" w:eastAsia="仿宋_GB2312" w:cs="仿宋_GB2312"/>
          <w:sz w:val="32"/>
          <w:szCs w:val="32"/>
        </w:rPr>
        <w:t>万元，预决算差异率</w:t>
      </w:r>
      <w:r>
        <w:rPr>
          <w:rFonts w:ascii="仿宋_GB2312" w:eastAsia="仿宋_GB2312" w:cs="仿宋_GB2312"/>
          <w:sz w:val="32"/>
          <w:szCs w:val="32"/>
        </w:rPr>
        <w:t>1035.56%</w:t>
      </w:r>
      <w:r>
        <w:rPr>
          <w:rFonts w:hint="eastAsia" w:ascii="仿宋_GB2312" w:eastAsia="仿宋_GB2312" w:cs="仿宋_GB2312"/>
          <w:sz w:val="32"/>
          <w:szCs w:val="32"/>
        </w:rPr>
        <w:t>，差异主要原因是棚户区改造、扶贫农村公路建设项目，增加人员工资调整。</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7"/>
      <w:bookmarkStart w:id="24" w:name="OLE_LINK58"/>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92,261.33</w:t>
      </w:r>
      <w:r>
        <w:rPr>
          <w:rFonts w:hint="eastAsia" w:ascii="仿宋_GB2312" w:eastAsia="仿宋_GB2312" w:cs="仿宋_GB2312"/>
          <w:sz w:val="32"/>
          <w:szCs w:val="32"/>
        </w:rPr>
        <w:t>万元，与上年相比，增加</w:t>
      </w:r>
      <w:r>
        <w:rPr>
          <w:rFonts w:ascii="仿宋_GB2312" w:eastAsia="仿宋_GB2312" w:cs="仿宋_GB2312"/>
          <w:sz w:val="32"/>
          <w:szCs w:val="32"/>
        </w:rPr>
        <w:t>60,597.25</w:t>
      </w:r>
      <w:r>
        <w:rPr>
          <w:rFonts w:hint="eastAsia" w:ascii="仿宋_GB2312" w:eastAsia="仿宋_GB2312" w:cs="仿宋_GB2312"/>
          <w:sz w:val="32"/>
          <w:szCs w:val="32"/>
        </w:rPr>
        <w:t>万元，增长</w:t>
      </w:r>
      <w:r>
        <w:rPr>
          <w:rFonts w:ascii="仿宋_GB2312" w:eastAsia="仿宋_GB2312" w:cs="仿宋_GB2312"/>
          <w:sz w:val="32"/>
          <w:szCs w:val="32"/>
        </w:rPr>
        <w:t>191.38%</w:t>
      </w:r>
      <w:r>
        <w:rPr>
          <w:rFonts w:hint="eastAsia" w:ascii="仿宋_GB2312" w:eastAsia="仿宋_GB2312" w:cs="仿宋_GB2312"/>
          <w:sz w:val="32"/>
          <w:szCs w:val="32"/>
        </w:rPr>
        <w:t>，增加的主要原因是：棚户区改造、扶贫农村公路建设项目，增加人员工资调整。</w:t>
      </w:r>
      <w:bookmarkEnd w:id="23"/>
      <w:bookmarkEnd w:id="24"/>
      <w:bookmarkStart w:id="26" w:name="OLE_LINK14"/>
      <w:bookmarkStart w:id="27" w:name="OLE_LINK60"/>
      <w:bookmarkStart w:id="28" w:name="OLE_LINK59"/>
      <w:r>
        <w:rPr>
          <w:rFonts w:hint="eastAsia" w:ascii="仿宋_GB2312" w:eastAsia="仿宋_GB2312" w:cs="仿宋_GB2312"/>
          <w:sz w:val="32"/>
          <w:szCs w:val="32"/>
        </w:rPr>
        <w:t>财政拨款支出</w:t>
      </w:r>
      <w:bookmarkEnd w:id="26"/>
      <w:r>
        <w:rPr>
          <w:rFonts w:ascii="仿宋_GB2312" w:eastAsia="仿宋_GB2312" w:cs="仿宋_GB2312"/>
          <w:sz w:val="32"/>
          <w:szCs w:val="32"/>
        </w:rPr>
        <w:t>92,261.33</w:t>
      </w:r>
      <w:r>
        <w:rPr>
          <w:rFonts w:hint="eastAsia" w:ascii="仿宋_GB2312" w:eastAsia="仿宋_GB2312" w:cs="仿宋_GB2312"/>
          <w:sz w:val="32"/>
          <w:szCs w:val="32"/>
        </w:rPr>
        <w:t>万元，与上年相比，增加</w:t>
      </w:r>
      <w:r>
        <w:rPr>
          <w:rFonts w:ascii="仿宋_GB2312" w:eastAsia="仿宋_GB2312" w:cs="仿宋_GB2312"/>
          <w:sz w:val="32"/>
          <w:szCs w:val="32"/>
        </w:rPr>
        <w:t>60,597.25</w:t>
      </w:r>
      <w:r>
        <w:rPr>
          <w:rFonts w:hint="eastAsia" w:ascii="仿宋_GB2312" w:eastAsia="仿宋_GB2312" w:cs="仿宋_GB2312"/>
          <w:sz w:val="32"/>
          <w:szCs w:val="32"/>
        </w:rPr>
        <w:t>万元，增长</w:t>
      </w:r>
      <w:r>
        <w:rPr>
          <w:rFonts w:ascii="仿宋_GB2312" w:eastAsia="仿宋_GB2312" w:cs="仿宋_GB2312"/>
          <w:sz w:val="32"/>
          <w:szCs w:val="32"/>
        </w:rPr>
        <w:t>191.38%</w:t>
      </w:r>
      <w:r>
        <w:rPr>
          <w:rFonts w:hint="eastAsia" w:ascii="仿宋_GB2312" w:eastAsia="仿宋_GB2312" w:cs="仿宋_GB2312"/>
          <w:sz w:val="32"/>
          <w:szCs w:val="32"/>
        </w:rPr>
        <w:t>，增加的主要原因是：棚户区改造、扶贫农村公路建设项目增加，人员工资调整。</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2,216.61</w:t>
      </w:r>
      <w:r>
        <w:rPr>
          <w:rFonts w:hint="eastAsia" w:ascii="仿宋_GB2312" w:eastAsia="仿宋_GB2312" w:cs="仿宋_GB2312"/>
          <w:sz w:val="32"/>
          <w:szCs w:val="32"/>
        </w:rPr>
        <w:t>万元，项目支出</w:t>
      </w:r>
      <w:r>
        <w:rPr>
          <w:rFonts w:ascii="仿宋_GB2312" w:eastAsia="仿宋_GB2312" w:cs="仿宋_GB2312"/>
          <w:sz w:val="32"/>
          <w:szCs w:val="32"/>
        </w:rPr>
        <w:t>90,044.73</w:t>
      </w:r>
      <w:r>
        <w:rPr>
          <w:rFonts w:hint="eastAsia" w:ascii="仿宋_GB2312" w:eastAsia="仿宋_GB2312" w:cs="仿宋_GB2312"/>
          <w:sz w:val="32"/>
          <w:szCs w:val="32"/>
        </w:rPr>
        <w:t>万元。</w:t>
      </w:r>
      <w:r>
        <w:rPr>
          <w:rFonts w:hint="eastAsia" w:ascii="仿宋_GB2312" w:eastAsia="仿宋_GB2312"/>
          <w:sz w:val="32"/>
          <w:szCs w:val="32"/>
        </w:rPr>
        <w:t>财政拨款结转结余0万元，与上年相比，增加0万元，增长0%。增加的主要原因是：与上年相比无增减变化，无结转结余资金</w:t>
      </w:r>
      <w:r>
        <w:rPr>
          <w:rFonts w:hint="eastAsia" w:ascii="仿宋_GB2312" w:eastAsia="仿宋_GB2312" w:cs="仿宋_GB2312"/>
          <w:sz w:val="32"/>
          <w:szCs w:val="32"/>
        </w:rPr>
        <w:t>。</w:t>
      </w:r>
      <w:bookmarkEnd w:id="29"/>
    </w:p>
    <w:p>
      <w:pPr>
        <w:spacing w:line="540" w:lineRule="exact"/>
        <w:ind w:firstLine="640" w:firstLineChars="200"/>
        <w:rPr>
          <w:rFonts w:ascii="仿宋_GB2312" w:eastAsia="仿宋_GB2312"/>
          <w:sz w:val="32"/>
          <w:szCs w:val="32"/>
        </w:rPr>
      </w:pPr>
      <w:bookmarkStart w:id="31"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13,530.67</w:t>
      </w:r>
      <w:r>
        <w:rPr>
          <w:rFonts w:hint="eastAsia" w:ascii="仿宋_GB2312" w:eastAsia="仿宋_GB2312" w:cs="仿宋_GB2312"/>
          <w:sz w:val="32"/>
          <w:szCs w:val="32"/>
        </w:rPr>
        <w:t>万元，决算数</w:t>
      </w:r>
      <w:r>
        <w:rPr>
          <w:rFonts w:ascii="仿宋_GB2312" w:eastAsia="仿宋_GB2312" w:cs="仿宋_GB2312"/>
          <w:sz w:val="32"/>
          <w:szCs w:val="32"/>
        </w:rPr>
        <w:t>92,261.33</w:t>
      </w:r>
      <w:r>
        <w:rPr>
          <w:rFonts w:hint="eastAsia" w:ascii="仿宋_GB2312" w:eastAsia="仿宋_GB2312" w:cs="仿宋_GB2312"/>
          <w:sz w:val="32"/>
          <w:szCs w:val="32"/>
        </w:rPr>
        <w:t>万元，预决算差异率</w:t>
      </w:r>
      <w:r>
        <w:rPr>
          <w:rFonts w:ascii="仿宋_GB2312" w:eastAsia="仿宋_GB2312" w:cs="仿宋_GB2312"/>
          <w:sz w:val="32"/>
          <w:szCs w:val="32"/>
        </w:rPr>
        <w:t>581.87%</w:t>
      </w:r>
      <w:r>
        <w:rPr>
          <w:rFonts w:hint="eastAsia" w:ascii="仿宋_GB2312" w:eastAsia="仿宋_GB2312" w:cs="仿宋_GB2312"/>
          <w:sz w:val="32"/>
          <w:szCs w:val="32"/>
        </w:rPr>
        <w:t>，差异主要原因是棚户区改造、扶贫农村公路建设项目增加，人员工资调整。</w:t>
      </w:r>
      <w:bookmarkEnd w:id="31"/>
      <w:bookmarkStart w:id="32"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13,530.67</w:t>
      </w:r>
      <w:r>
        <w:rPr>
          <w:rFonts w:hint="eastAsia" w:ascii="仿宋_GB2312" w:eastAsia="仿宋_GB2312" w:cs="仿宋_GB2312"/>
          <w:sz w:val="32"/>
          <w:szCs w:val="32"/>
        </w:rPr>
        <w:t>万元，决算数</w:t>
      </w:r>
      <w:r>
        <w:rPr>
          <w:rFonts w:ascii="仿宋_GB2312" w:eastAsia="仿宋_GB2312" w:cs="仿宋_GB2312"/>
          <w:sz w:val="32"/>
          <w:szCs w:val="32"/>
        </w:rPr>
        <w:t>92,261.33</w:t>
      </w:r>
      <w:r>
        <w:rPr>
          <w:rFonts w:hint="eastAsia" w:ascii="仿宋_GB2312" w:eastAsia="仿宋_GB2312" w:cs="仿宋_GB2312"/>
          <w:sz w:val="32"/>
          <w:szCs w:val="32"/>
        </w:rPr>
        <w:t>万元，预决算差异率</w:t>
      </w:r>
      <w:r>
        <w:rPr>
          <w:rFonts w:ascii="仿宋_GB2312" w:eastAsia="仿宋_GB2312" w:cs="仿宋_GB2312"/>
          <w:sz w:val="32"/>
          <w:szCs w:val="32"/>
        </w:rPr>
        <w:t>581.87%</w:t>
      </w:r>
      <w:r>
        <w:rPr>
          <w:rFonts w:hint="eastAsia" w:ascii="仿宋_GB2312" w:eastAsia="仿宋_GB2312" w:cs="仿宋_GB2312"/>
          <w:sz w:val="32"/>
          <w:szCs w:val="32"/>
        </w:rPr>
        <w:t>，差异主要原因是棚户区改造、扶贫农村公路建设项目增加，人员工资调整。</w:t>
      </w:r>
      <w:bookmarkEnd w:id="3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3"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4" w:name="OLE_LINK17"/>
      <w:r>
        <w:rPr>
          <w:rFonts w:hint="eastAsia" w:ascii="仿宋_GB2312" w:eastAsia="仿宋_GB2312" w:cs="仿宋_GB2312"/>
          <w:sz w:val="32"/>
          <w:szCs w:val="32"/>
        </w:rPr>
        <w:t>一般公共预算财政拨款收入</w:t>
      </w:r>
      <w:bookmarkEnd w:id="34"/>
      <w:r>
        <w:rPr>
          <w:rFonts w:ascii="仿宋_GB2312" w:eastAsia="仿宋_GB2312" w:cs="仿宋_GB2312"/>
          <w:sz w:val="32"/>
          <w:szCs w:val="32"/>
        </w:rPr>
        <w:t>88,627.79</w:t>
      </w:r>
      <w:r>
        <w:rPr>
          <w:rFonts w:hint="eastAsia" w:ascii="仿宋_GB2312" w:eastAsia="仿宋_GB2312" w:cs="仿宋_GB2312"/>
          <w:sz w:val="32"/>
          <w:szCs w:val="32"/>
        </w:rPr>
        <w:t>万元，与上年相比，增加</w:t>
      </w:r>
      <w:r>
        <w:rPr>
          <w:rFonts w:ascii="仿宋_GB2312" w:eastAsia="仿宋_GB2312" w:cs="仿宋_GB2312"/>
          <w:sz w:val="32"/>
          <w:szCs w:val="32"/>
        </w:rPr>
        <w:t>57,055.52</w:t>
      </w:r>
      <w:r>
        <w:rPr>
          <w:rFonts w:hint="eastAsia" w:ascii="仿宋_GB2312" w:eastAsia="仿宋_GB2312" w:cs="仿宋_GB2312"/>
          <w:sz w:val="32"/>
          <w:szCs w:val="32"/>
        </w:rPr>
        <w:t>万元，增长</w:t>
      </w:r>
      <w:r>
        <w:rPr>
          <w:rFonts w:ascii="仿宋_GB2312" w:eastAsia="仿宋_GB2312" w:cs="仿宋_GB2312"/>
          <w:sz w:val="32"/>
          <w:szCs w:val="32"/>
        </w:rPr>
        <w:t>180.71%</w:t>
      </w:r>
      <w:r>
        <w:rPr>
          <w:rFonts w:hint="eastAsia" w:ascii="仿宋_GB2312" w:eastAsia="仿宋_GB2312" w:cs="仿宋_GB2312"/>
          <w:sz w:val="32"/>
          <w:szCs w:val="32"/>
        </w:rPr>
        <w:t>，增加的主要原因是：棚户区改造、扶贫农村公路建设项目增加，人员工资调整。</w:t>
      </w:r>
      <w:bookmarkEnd w:id="33"/>
      <w:bookmarkStart w:id="35" w:name="OLE_LINK18"/>
      <w:bookmarkStart w:id="36"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88,627.79</w:t>
      </w:r>
      <w:r>
        <w:rPr>
          <w:rFonts w:hint="eastAsia" w:ascii="仿宋_GB2312" w:eastAsia="仿宋_GB2312" w:cs="仿宋_GB2312"/>
          <w:sz w:val="32"/>
          <w:szCs w:val="32"/>
        </w:rPr>
        <w:t>万元</w:t>
      </w:r>
      <w:bookmarkEnd w:id="35"/>
      <w:r>
        <w:rPr>
          <w:rFonts w:hint="eastAsia" w:ascii="仿宋_GB2312" w:eastAsia="仿宋_GB2312" w:cs="仿宋_GB2312"/>
          <w:sz w:val="32"/>
          <w:szCs w:val="32"/>
        </w:rPr>
        <w:t>，与上年相比，增加</w:t>
      </w:r>
      <w:r>
        <w:rPr>
          <w:rFonts w:ascii="仿宋_GB2312" w:eastAsia="仿宋_GB2312" w:cs="仿宋_GB2312"/>
          <w:sz w:val="32"/>
          <w:szCs w:val="32"/>
        </w:rPr>
        <w:t>57,055.52</w:t>
      </w:r>
      <w:r>
        <w:rPr>
          <w:rFonts w:hint="eastAsia" w:ascii="仿宋_GB2312" w:eastAsia="仿宋_GB2312" w:cs="仿宋_GB2312"/>
          <w:sz w:val="32"/>
          <w:szCs w:val="32"/>
        </w:rPr>
        <w:t>万元，增长</w:t>
      </w:r>
      <w:r>
        <w:rPr>
          <w:rFonts w:ascii="仿宋_GB2312" w:eastAsia="仿宋_GB2312" w:cs="仿宋_GB2312"/>
          <w:sz w:val="32"/>
          <w:szCs w:val="32"/>
        </w:rPr>
        <w:t>180.71%</w:t>
      </w:r>
      <w:r>
        <w:rPr>
          <w:rFonts w:hint="eastAsia" w:ascii="仿宋_GB2312" w:eastAsia="仿宋_GB2312" w:cs="仿宋_GB2312"/>
          <w:sz w:val="32"/>
          <w:szCs w:val="32"/>
        </w:rPr>
        <w:t>，增加的主要原因是：棚户区改造、扶贫农村公路建设项目增加，人员工资调整。</w:t>
      </w:r>
      <w:bookmarkEnd w:id="36"/>
      <w:r>
        <w:rPr>
          <w:rFonts w:hint="eastAsia" w:ascii="仿宋_GB2312" w:eastAsia="仿宋_GB2312" w:cs="仿宋_GB2312"/>
          <w:sz w:val="32"/>
          <w:szCs w:val="32"/>
        </w:rPr>
        <w:t>其中：</w:t>
      </w:r>
      <w:bookmarkStart w:id="37" w:name="OLE_LINK19"/>
      <w:r>
        <w:rPr>
          <w:rFonts w:hint="eastAsia" w:ascii="仿宋_GB2312" w:eastAsia="仿宋_GB2312" w:cs="仿宋_GB2312"/>
          <w:sz w:val="32"/>
          <w:szCs w:val="32"/>
        </w:rPr>
        <w:t>按功能分类科目（按类级科目公开）</w:t>
      </w:r>
      <w:bookmarkEnd w:id="37"/>
      <w:r>
        <w:rPr>
          <w:rFonts w:hint="eastAsia" w:ascii="仿宋_GB2312" w:eastAsia="仿宋_GB2312" w:cs="仿宋_GB2312"/>
          <w:sz w:val="32"/>
          <w:szCs w:val="32"/>
        </w:rPr>
        <w:t>，住房保障支出</w:t>
      </w:r>
      <w:r>
        <w:rPr>
          <w:rFonts w:ascii="仿宋_GB2312" w:eastAsia="仿宋_GB2312" w:cs="仿宋_GB2312"/>
          <w:sz w:val="32"/>
          <w:szCs w:val="32"/>
        </w:rPr>
        <w:t>82,288.71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2,913.87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城乡社区支出</w:t>
      </w:r>
      <w:r>
        <w:rPr>
          <w:rFonts w:ascii="仿宋_GB2312" w:eastAsia="仿宋_GB2312" w:cs="仿宋_GB2312"/>
          <w:sz w:val="32"/>
          <w:szCs w:val="32"/>
        </w:rPr>
        <w:t>2,501.44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800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123.77</w:t>
      </w:r>
      <w:r>
        <w:rPr>
          <w:rFonts w:hint="eastAsia" w:ascii="仿宋_GB2312" w:eastAsia="仿宋_GB2312" w:cs="仿宋_GB2312"/>
          <w:sz w:val="32"/>
          <w:szCs w:val="32"/>
        </w:rPr>
        <w:t>万元。</w:t>
      </w:r>
      <w:bookmarkStart w:id="38" w:name="OLE_LINK20"/>
      <w:bookmarkStart w:id="39" w:name="OLE_LINK21"/>
      <w:r>
        <w:rPr>
          <w:rFonts w:hint="eastAsia" w:ascii="仿宋_GB2312" w:eastAsia="仿宋_GB2312" w:cs="仿宋_GB2312"/>
          <w:sz w:val="32"/>
          <w:szCs w:val="32"/>
        </w:rPr>
        <w:t>按经济分类科目</w:t>
      </w:r>
      <w:bookmarkEnd w:id="38"/>
      <w:r>
        <w:rPr>
          <w:rFonts w:hint="eastAsia" w:ascii="仿宋_GB2312" w:eastAsia="仿宋_GB2312" w:cs="仿宋_GB2312"/>
          <w:sz w:val="32"/>
          <w:szCs w:val="32"/>
        </w:rPr>
        <w:t>（按类级科目公开）</w:t>
      </w:r>
      <w:bookmarkEnd w:id="39"/>
      <w:r>
        <w:rPr>
          <w:rFonts w:hint="eastAsia" w:ascii="仿宋_GB2312" w:eastAsia="仿宋_GB2312" w:cs="仿宋_GB2312"/>
          <w:sz w:val="32"/>
          <w:szCs w:val="32"/>
        </w:rPr>
        <w:t>，工资福利支出</w:t>
      </w:r>
      <w:r>
        <w:rPr>
          <w:rFonts w:ascii="仿宋_GB2312" w:eastAsia="仿宋_GB2312" w:cs="仿宋_GB2312"/>
          <w:sz w:val="32"/>
          <w:szCs w:val="32"/>
        </w:rPr>
        <w:t>1,590.34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商品和服务支出1960.46万元，对个人和家庭的补助</w:t>
      </w:r>
      <w:r>
        <w:rPr>
          <w:rFonts w:ascii="仿宋_GB2312" w:eastAsia="仿宋_GB2312" w:cs="仿宋_GB2312"/>
          <w:sz w:val="32"/>
          <w:szCs w:val="32"/>
        </w:rPr>
        <w:t>740.71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13,031</w:t>
      </w:r>
      <w:r>
        <w:rPr>
          <w:rFonts w:hint="eastAsia" w:ascii="仿宋_GB2312" w:eastAsia="仿宋_GB2312" w:cs="仿宋_GB2312"/>
          <w:sz w:val="32"/>
          <w:szCs w:val="32"/>
        </w:rPr>
        <w:t>.00万元，资本性支出71</w:t>
      </w:r>
      <w:r>
        <w:rPr>
          <w:rFonts w:ascii="仿宋_GB2312" w:eastAsia="仿宋_GB2312" w:cs="仿宋_GB2312"/>
          <w:sz w:val="32"/>
          <w:szCs w:val="32"/>
        </w:rPr>
        <w:t>,</w:t>
      </w:r>
      <w:r>
        <w:rPr>
          <w:rFonts w:hint="eastAsia" w:ascii="仿宋_GB2312" w:eastAsia="仿宋_GB2312" w:cs="仿宋_GB2312"/>
          <w:sz w:val="32"/>
          <w:szCs w:val="32"/>
        </w:rPr>
        <w:t>305.28万元。</w:t>
      </w:r>
    </w:p>
    <w:p>
      <w:pPr>
        <w:spacing w:line="540" w:lineRule="exact"/>
        <w:ind w:firstLine="640" w:firstLineChars="200"/>
        <w:rPr>
          <w:rFonts w:ascii="仿宋_GB2312" w:eastAsia="仿宋_GB2312"/>
          <w:sz w:val="32"/>
          <w:szCs w:val="32"/>
        </w:rPr>
      </w:pPr>
      <w:bookmarkStart w:id="40" w:name="OLE_LINK67"/>
      <w:bookmarkStart w:id="41" w:name="OLE_LINK66"/>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12,746.67</w:t>
      </w:r>
      <w:r>
        <w:rPr>
          <w:rFonts w:hint="eastAsia" w:ascii="仿宋_GB2312" w:eastAsia="仿宋_GB2312" w:cs="仿宋_GB2312"/>
          <w:sz w:val="32"/>
          <w:szCs w:val="32"/>
        </w:rPr>
        <w:t>万元，决算数</w:t>
      </w:r>
      <w:r>
        <w:rPr>
          <w:rFonts w:ascii="仿宋_GB2312" w:eastAsia="仿宋_GB2312" w:cs="仿宋_GB2312"/>
          <w:sz w:val="32"/>
          <w:szCs w:val="32"/>
        </w:rPr>
        <w:t>88,627.79</w:t>
      </w:r>
      <w:r>
        <w:rPr>
          <w:rFonts w:hint="eastAsia" w:ascii="仿宋_GB2312" w:eastAsia="仿宋_GB2312" w:cs="仿宋_GB2312"/>
          <w:sz w:val="32"/>
          <w:szCs w:val="32"/>
        </w:rPr>
        <w:t>万元，预决算差异率</w:t>
      </w:r>
      <w:r>
        <w:rPr>
          <w:rFonts w:ascii="仿宋_GB2312" w:eastAsia="仿宋_GB2312" w:cs="仿宋_GB2312"/>
          <w:sz w:val="32"/>
          <w:szCs w:val="32"/>
        </w:rPr>
        <w:t>595.3%</w:t>
      </w:r>
      <w:r>
        <w:rPr>
          <w:rFonts w:hint="eastAsia" w:ascii="仿宋_GB2312" w:eastAsia="仿宋_GB2312" w:cs="仿宋_GB2312"/>
          <w:sz w:val="32"/>
          <w:szCs w:val="32"/>
        </w:rPr>
        <w:t>，差异主要原因是棚户区改造、扶贫农村公路建设项目增加，人员工资调整。</w:t>
      </w:r>
      <w:bookmarkEnd w:id="40"/>
      <w:bookmarkEnd w:id="41"/>
      <w:bookmarkStart w:id="42"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12,746.67</w:t>
      </w:r>
      <w:r>
        <w:rPr>
          <w:rFonts w:hint="eastAsia" w:ascii="仿宋_GB2312" w:eastAsia="仿宋_GB2312" w:cs="仿宋_GB2312"/>
          <w:sz w:val="32"/>
          <w:szCs w:val="32"/>
        </w:rPr>
        <w:t>万元，决算数</w:t>
      </w:r>
      <w:r>
        <w:rPr>
          <w:rFonts w:ascii="仿宋_GB2312" w:eastAsia="仿宋_GB2312" w:cs="仿宋_GB2312"/>
          <w:sz w:val="32"/>
          <w:szCs w:val="32"/>
        </w:rPr>
        <w:t>88,627.79</w:t>
      </w:r>
      <w:r>
        <w:rPr>
          <w:rFonts w:hint="eastAsia" w:ascii="仿宋_GB2312" w:eastAsia="仿宋_GB2312" w:cs="仿宋_GB2312"/>
          <w:sz w:val="32"/>
          <w:szCs w:val="32"/>
        </w:rPr>
        <w:t>万元，预决算差异率</w:t>
      </w:r>
      <w:r>
        <w:rPr>
          <w:rFonts w:ascii="仿宋_GB2312" w:eastAsia="仿宋_GB2312" w:cs="仿宋_GB2312"/>
          <w:sz w:val="32"/>
          <w:szCs w:val="32"/>
        </w:rPr>
        <w:t>595.3%</w:t>
      </w:r>
      <w:r>
        <w:rPr>
          <w:rFonts w:hint="eastAsia" w:ascii="仿宋_GB2312" w:eastAsia="仿宋_GB2312" w:cs="仿宋_GB2312"/>
          <w:sz w:val="32"/>
          <w:szCs w:val="32"/>
        </w:rPr>
        <w:t>，差异主要原因是棚户区改造、扶贫农村公路建设项目增加，人员工资调整。</w:t>
      </w:r>
      <w:bookmarkEnd w:id="42"/>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sz w:val="32"/>
          <w:szCs w:val="32"/>
        </w:rPr>
      </w:pPr>
      <w:bookmarkStart w:id="43"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4" w:name="OLE_LINK22"/>
      <w:r>
        <w:rPr>
          <w:rFonts w:hint="eastAsia" w:ascii="仿宋_GB2312" w:eastAsia="仿宋_GB2312" w:cs="仿宋_GB2312"/>
          <w:sz w:val="32"/>
          <w:szCs w:val="32"/>
        </w:rPr>
        <w:t>政府性基金预算财政拨款收入</w:t>
      </w:r>
      <w:bookmarkEnd w:id="44"/>
      <w:r>
        <w:rPr>
          <w:rFonts w:ascii="仿宋_GB2312" w:eastAsia="仿宋_GB2312" w:cs="仿宋_GB2312"/>
          <w:sz w:val="32"/>
          <w:szCs w:val="32"/>
        </w:rPr>
        <w:t>3,633.54</w:t>
      </w:r>
      <w:r>
        <w:rPr>
          <w:rFonts w:hint="eastAsia" w:ascii="仿宋_GB2312" w:eastAsia="仿宋_GB2312" w:cs="仿宋_GB2312"/>
          <w:sz w:val="32"/>
          <w:szCs w:val="32"/>
        </w:rPr>
        <w:t>万元，与上年相比，增加</w:t>
      </w:r>
      <w:r>
        <w:rPr>
          <w:rFonts w:ascii="仿宋_GB2312" w:eastAsia="仿宋_GB2312" w:cs="仿宋_GB2312"/>
          <w:sz w:val="32"/>
          <w:szCs w:val="32"/>
        </w:rPr>
        <w:t>3,541.73</w:t>
      </w:r>
      <w:r>
        <w:rPr>
          <w:rFonts w:hint="eastAsia" w:ascii="仿宋_GB2312" w:eastAsia="仿宋_GB2312" w:cs="仿宋_GB2312"/>
          <w:sz w:val="32"/>
          <w:szCs w:val="32"/>
        </w:rPr>
        <w:t>万元，增长</w:t>
      </w:r>
      <w:r>
        <w:rPr>
          <w:rFonts w:ascii="仿宋_GB2312" w:eastAsia="仿宋_GB2312" w:cs="仿宋_GB2312"/>
          <w:sz w:val="32"/>
          <w:szCs w:val="32"/>
        </w:rPr>
        <w:t>3857.67%</w:t>
      </w:r>
      <w:r>
        <w:rPr>
          <w:rFonts w:hint="eastAsia" w:ascii="仿宋_GB2312" w:eastAsia="仿宋_GB2312" w:cs="仿宋_GB2312"/>
          <w:sz w:val="32"/>
          <w:szCs w:val="32"/>
        </w:rPr>
        <w:t>，增加的主要原因是：棚户区改造、征地和拆迁补偿支出（国有土地使用权出让收入安排的支出）保障房维护管理费增加。</w:t>
      </w:r>
      <w:bookmarkEnd w:id="43"/>
      <w:bookmarkStart w:id="45" w:name="OLE_LINK23"/>
      <w:bookmarkStart w:id="46" w:name="OLE_LINK70"/>
      <w:r>
        <w:rPr>
          <w:rFonts w:hint="eastAsia" w:ascii="仿宋_GB2312" w:eastAsia="仿宋_GB2312" w:cs="仿宋_GB2312"/>
          <w:sz w:val="32"/>
          <w:szCs w:val="32"/>
        </w:rPr>
        <w:t>政府性基金预算支出</w:t>
      </w:r>
      <w:bookmarkEnd w:id="45"/>
      <w:r>
        <w:rPr>
          <w:rFonts w:ascii="仿宋_GB2312" w:eastAsia="仿宋_GB2312" w:cs="仿宋_GB2312"/>
          <w:sz w:val="32"/>
          <w:szCs w:val="32"/>
        </w:rPr>
        <w:t>3,633.54</w:t>
      </w:r>
      <w:r>
        <w:rPr>
          <w:rFonts w:hint="eastAsia" w:ascii="仿宋_GB2312" w:eastAsia="仿宋_GB2312" w:cs="仿宋_GB2312"/>
          <w:sz w:val="32"/>
          <w:szCs w:val="32"/>
        </w:rPr>
        <w:t>万元，与上年相比，增加</w:t>
      </w:r>
      <w:r>
        <w:rPr>
          <w:rFonts w:ascii="仿宋_GB2312" w:eastAsia="仿宋_GB2312" w:cs="仿宋_GB2312"/>
          <w:sz w:val="32"/>
          <w:szCs w:val="32"/>
        </w:rPr>
        <w:t>3,541.73</w:t>
      </w:r>
      <w:r>
        <w:rPr>
          <w:rFonts w:hint="eastAsia" w:ascii="仿宋_GB2312" w:eastAsia="仿宋_GB2312" w:cs="仿宋_GB2312"/>
          <w:sz w:val="32"/>
          <w:szCs w:val="32"/>
        </w:rPr>
        <w:t>万元，增长</w:t>
      </w:r>
      <w:r>
        <w:rPr>
          <w:rFonts w:ascii="仿宋_GB2312" w:eastAsia="仿宋_GB2312" w:cs="仿宋_GB2312"/>
          <w:sz w:val="32"/>
          <w:szCs w:val="32"/>
        </w:rPr>
        <w:t>3857.67%</w:t>
      </w:r>
      <w:r>
        <w:rPr>
          <w:rFonts w:hint="eastAsia" w:ascii="仿宋_GB2312" w:eastAsia="仿宋_GB2312" w:cs="仿宋_GB2312"/>
          <w:sz w:val="32"/>
          <w:szCs w:val="32"/>
        </w:rPr>
        <w:t>，增加的主要原因是：棚户区改造、征地和拆迁补偿支出（国有土地使用权出让收入安排的支出）保障房维护管理费增加。</w:t>
      </w:r>
      <w:bookmarkEnd w:id="46"/>
      <w:r>
        <w:rPr>
          <w:rFonts w:hint="eastAsia" w:ascii="仿宋_GB2312" w:eastAsia="仿宋_GB2312" w:cs="仿宋_GB2312"/>
          <w:sz w:val="32"/>
          <w:szCs w:val="32"/>
        </w:rPr>
        <w:t>其中：</w:t>
      </w:r>
      <w:bookmarkStart w:id="47" w:name="OLE_LINK24"/>
      <w:r>
        <w:rPr>
          <w:rFonts w:hint="eastAsia" w:ascii="仿宋_GB2312" w:eastAsia="仿宋_GB2312" w:cs="仿宋_GB2312"/>
          <w:sz w:val="32"/>
          <w:szCs w:val="32"/>
        </w:rPr>
        <w:t>按功能分类科目（按类级科目公开）</w:t>
      </w:r>
      <w:bookmarkEnd w:id="47"/>
      <w:r>
        <w:rPr>
          <w:rFonts w:hint="eastAsia" w:ascii="仿宋_GB2312" w:eastAsia="仿宋_GB2312" w:cs="仿宋_GB2312"/>
          <w:sz w:val="32"/>
          <w:szCs w:val="32"/>
        </w:rPr>
        <w:t>，城乡社区支出</w:t>
      </w:r>
      <w:r>
        <w:rPr>
          <w:rFonts w:ascii="仿宋_GB2312" w:eastAsia="仿宋_GB2312" w:cs="仿宋_GB2312"/>
          <w:sz w:val="32"/>
          <w:szCs w:val="32"/>
        </w:rPr>
        <w:t>3,633.54</w:t>
      </w:r>
      <w:r>
        <w:rPr>
          <w:rFonts w:hint="eastAsia" w:ascii="仿宋_GB2312" w:eastAsia="仿宋_GB2312" w:cs="仿宋_GB2312"/>
          <w:sz w:val="32"/>
          <w:szCs w:val="32"/>
        </w:rPr>
        <w:t>万元。按经济分类科目（按类级科目公开），商品和服务支出</w:t>
      </w:r>
      <w:r>
        <w:rPr>
          <w:rFonts w:ascii="仿宋_GB2312" w:eastAsia="仿宋_GB2312" w:cs="仿宋_GB2312"/>
          <w:sz w:val="32"/>
          <w:szCs w:val="32"/>
        </w:rPr>
        <w:t>133.54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3,500</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8" w:name="OLE_LINK71"/>
      <w:bookmarkStart w:id="49" w:name="OLE_LINK72"/>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784</w:t>
      </w:r>
      <w:r>
        <w:rPr>
          <w:rFonts w:hint="eastAsia" w:ascii="仿宋_GB2312" w:eastAsia="仿宋_GB2312" w:cs="仿宋_GB2312"/>
          <w:sz w:val="32"/>
          <w:szCs w:val="32"/>
        </w:rPr>
        <w:t>万元，决算数</w:t>
      </w:r>
      <w:r>
        <w:rPr>
          <w:rFonts w:ascii="仿宋_GB2312" w:eastAsia="仿宋_GB2312" w:cs="仿宋_GB2312"/>
          <w:sz w:val="32"/>
          <w:szCs w:val="32"/>
        </w:rPr>
        <w:t>3,633.54</w:t>
      </w:r>
      <w:r>
        <w:rPr>
          <w:rFonts w:hint="eastAsia" w:ascii="仿宋_GB2312" w:eastAsia="仿宋_GB2312" w:cs="仿宋_GB2312"/>
          <w:sz w:val="32"/>
          <w:szCs w:val="32"/>
        </w:rPr>
        <w:t>万元，预决算差异率</w:t>
      </w:r>
      <w:r>
        <w:rPr>
          <w:rFonts w:ascii="仿宋_GB2312" w:eastAsia="仿宋_GB2312" w:cs="仿宋_GB2312"/>
          <w:sz w:val="32"/>
          <w:szCs w:val="32"/>
        </w:rPr>
        <w:t>363.46%</w:t>
      </w:r>
      <w:r>
        <w:rPr>
          <w:rFonts w:hint="eastAsia" w:ascii="仿宋_GB2312" w:eastAsia="仿宋_GB2312" w:cs="仿宋_GB2312"/>
          <w:sz w:val="32"/>
          <w:szCs w:val="32"/>
        </w:rPr>
        <w:t>，差异主要原因是棚户区改造、征地和拆迁补偿支出（国有土地使用权出让收入安排的支出）保障房维护管理费增加。</w:t>
      </w:r>
      <w:bookmarkEnd w:id="48"/>
      <w:bookmarkEnd w:id="49"/>
      <w:bookmarkStart w:id="50"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784</w:t>
      </w:r>
      <w:r>
        <w:rPr>
          <w:rFonts w:hint="eastAsia" w:ascii="仿宋_GB2312" w:eastAsia="仿宋_GB2312" w:cs="仿宋_GB2312"/>
          <w:sz w:val="32"/>
          <w:szCs w:val="32"/>
        </w:rPr>
        <w:t>万元，决算数</w:t>
      </w:r>
      <w:r>
        <w:rPr>
          <w:rFonts w:ascii="仿宋_GB2312" w:eastAsia="仿宋_GB2312" w:cs="仿宋_GB2312"/>
          <w:sz w:val="32"/>
          <w:szCs w:val="32"/>
        </w:rPr>
        <w:t>3,633.54</w:t>
      </w:r>
      <w:r>
        <w:rPr>
          <w:rFonts w:hint="eastAsia" w:ascii="仿宋_GB2312" w:eastAsia="仿宋_GB2312" w:cs="仿宋_GB2312"/>
          <w:sz w:val="32"/>
          <w:szCs w:val="32"/>
        </w:rPr>
        <w:t>万元，预决算差异率</w:t>
      </w:r>
      <w:r>
        <w:rPr>
          <w:rFonts w:ascii="仿宋_GB2312" w:eastAsia="仿宋_GB2312" w:cs="仿宋_GB2312"/>
          <w:sz w:val="32"/>
          <w:szCs w:val="32"/>
        </w:rPr>
        <w:t>363.46%</w:t>
      </w:r>
      <w:r>
        <w:rPr>
          <w:rFonts w:hint="eastAsia" w:ascii="仿宋_GB2312" w:eastAsia="仿宋_GB2312" w:cs="仿宋_GB2312"/>
          <w:sz w:val="32"/>
          <w:szCs w:val="32"/>
        </w:rPr>
        <w:t>，差异主要原因是棚户区改造、征地和拆迁补偿支出（国有土地使用权出让收入安排的支出）保障房维护管理费增加。</w:t>
      </w:r>
      <w:bookmarkEnd w:id="50"/>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2018年度一般公共预算“三公”经费支出决算</w:t>
      </w:r>
      <w:r>
        <w:rPr>
          <w:rFonts w:hint="eastAsia" w:ascii="仿宋_GB2312" w:eastAsia="仿宋_GB2312" w:cs="仿宋_GB2312"/>
          <w:sz w:val="32"/>
          <w:szCs w:val="32"/>
        </w:rPr>
        <w:t>7.15</w:t>
      </w:r>
      <w:r>
        <w:rPr>
          <w:rFonts w:hint="eastAsia" w:ascii="仿宋_GB2312" w:eastAsia="仿宋_GB2312"/>
          <w:sz w:val="32"/>
          <w:szCs w:val="32"/>
        </w:rPr>
        <w:t>万元，比上年减少1.15万元，降低16.08%，减少原因是认真贯彻落实中央和自治区厉行节约的各项规定，严格控制和降低行政运行成本，大力压缩“三公”经费支出规模。其中，因公出国（境）费支出0万元，占0%，比上年增加0万元，增长0%，增加原因是2018年我单位无因公出国（境）费；公务用车购置及运行维护费支出6万元，占100%，比上年减少0万元，降低10%，减少原因是</w:t>
      </w:r>
      <w:r>
        <w:rPr>
          <w:rFonts w:hint="eastAsia" w:ascii="仿宋_GB2312" w:eastAsia="仿宋_GB2312" w:cs="仿宋_GB2312"/>
          <w:sz w:val="32"/>
          <w:szCs w:val="32"/>
        </w:rPr>
        <w:t>我单位严把车辆管控关，严格遵守公务车辆配置标准和管理制度，减少使用高耗油车辆，严禁公车私用；公务接待费支出0万元，占0%，比上年减少1.15万元，降低100%，减少原因是严把监督检查关，对接待费严格控制，减少一切不必要的公务接待开支。具</w:t>
      </w:r>
      <w:r>
        <w:rPr>
          <w:rFonts w:hint="eastAsia" w:ascii="仿宋_GB2312" w:eastAsia="仿宋_GB2312"/>
          <w:sz w:val="32"/>
          <w:szCs w:val="32"/>
        </w:rPr>
        <w:t>体情况如下：</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w:t>
      </w:r>
      <w:r>
        <w:rPr>
          <w:rFonts w:hint="eastAsia" w:ascii="仿宋_GB2312" w:eastAsia="仿宋_GB2312" w:cs="仿宋_GB2312"/>
          <w:sz w:val="32"/>
          <w:szCs w:val="32"/>
        </w:rPr>
        <w:t>新疆喀什地区叶城县</w:t>
      </w:r>
      <w:r>
        <w:rPr>
          <w:rFonts w:hint="eastAsia" w:ascii="仿宋_GB2312" w:eastAsia="仿宋_GB2312" w:cs="仿宋_GB2312"/>
          <w:sz w:val="32"/>
          <w:szCs w:val="32"/>
          <w:lang w:eastAsia="zh-CN"/>
        </w:rPr>
        <w:t>住房和城乡建设</w:t>
      </w:r>
      <w:r>
        <w:rPr>
          <w:rFonts w:hint="eastAsia" w:ascii="仿宋_GB2312" w:eastAsia="仿宋_GB2312" w:cs="仿宋_GB2312"/>
          <w:sz w:val="32"/>
          <w:szCs w:val="32"/>
        </w:rPr>
        <w:t>局</w:t>
      </w:r>
      <w:r>
        <w:rPr>
          <w:rFonts w:hint="eastAsia" w:ascii="仿宋_GB2312" w:eastAsia="仿宋_GB2312"/>
          <w:sz w:val="32"/>
          <w:szCs w:val="32"/>
        </w:rPr>
        <w:t>全年使用一般公共预算财政拨款安排的因公出国（境）费团组0个，累计0人次。开支内容包括：2018年我单位因公出国（境）费，故无此项开支。</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公务用车购置及运行维护费6万元,其中，公务用车购置0万元，公务用车运行维护费6万元。主要用于</w:t>
      </w:r>
      <w:r>
        <w:rPr>
          <w:rFonts w:hint="eastAsia" w:ascii="仿宋_GB2312" w:eastAsia="仿宋_GB2312" w:cs="仿宋_GB2312"/>
          <w:sz w:val="32"/>
          <w:szCs w:val="32"/>
        </w:rPr>
        <w:t>车辆燃油，车辆保险及维修</w:t>
      </w:r>
      <w:r>
        <w:rPr>
          <w:rFonts w:hint="eastAsia" w:ascii="仿宋_GB2312" w:eastAsia="仿宋_GB2312"/>
          <w:sz w:val="32"/>
          <w:szCs w:val="32"/>
        </w:rPr>
        <w:t>等。单位一般公共财政拨款安排的公务用车购置量0辆，保有量为4辆。</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公务接待费0万元。具体是：国内公务接待支出0万元，主要是</w:t>
      </w:r>
      <w:r>
        <w:rPr>
          <w:rFonts w:hint="eastAsia" w:ascii="仿宋_GB2312" w:eastAsia="仿宋_GB2312" w:cs="仿宋_GB2312"/>
          <w:sz w:val="32"/>
          <w:szCs w:val="32"/>
        </w:rPr>
        <w:t>严把监督检查关，对接待费严格控制，减少一切不必要的公务接待开支，</w:t>
      </w:r>
      <w:r>
        <w:rPr>
          <w:rFonts w:hint="eastAsia" w:ascii="仿宋_GB2312" w:eastAsia="仿宋_GB2312"/>
          <w:sz w:val="32"/>
          <w:szCs w:val="32"/>
        </w:rPr>
        <w:t>无此项开支。</w:t>
      </w:r>
      <w:r>
        <w:rPr>
          <w:rFonts w:hint="eastAsia" w:ascii="仿宋_GB2312" w:eastAsia="仿宋_GB2312" w:cs="仿宋_GB2312"/>
          <w:sz w:val="32"/>
          <w:szCs w:val="32"/>
        </w:rPr>
        <w:t>新疆喀什地区叶城县住房和城乡建设局</w:t>
      </w:r>
      <w:r>
        <w:rPr>
          <w:rFonts w:hint="eastAsia" w:ascii="仿宋_GB2312" w:eastAsia="仿宋_GB2312"/>
          <w:sz w:val="32"/>
          <w:szCs w:val="32"/>
        </w:rPr>
        <w:t>国内公务接待0批次，0人次。</w:t>
      </w:r>
    </w:p>
    <w:p>
      <w:pPr>
        <w:spacing w:line="540" w:lineRule="exact"/>
        <w:ind w:firstLine="640" w:firstLineChars="200"/>
        <w:rPr>
          <w:rFonts w:ascii="仿宋_GB2312" w:hAnsi="宋体" w:eastAsia="仿宋_GB2312" w:cs="宋体"/>
          <w:kern w:val="0"/>
          <w:sz w:val="32"/>
          <w:szCs w:val="32"/>
        </w:rPr>
      </w:pPr>
      <w:r>
        <w:rPr>
          <w:rFonts w:hint="eastAsia" w:ascii="仿宋_GB2312" w:eastAsia="仿宋_GB2312"/>
          <w:sz w:val="32"/>
          <w:szCs w:val="32"/>
        </w:rPr>
        <w:t>与年初预算数相比情况：一般公共预算“三公”经费支出年初预算数</w:t>
      </w:r>
      <w:r>
        <w:rPr>
          <w:rFonts w:hint="eastAsia" w:ascii="仿宋_GB2312" w:eastAsia="仿宋_GB2312" w:cs="仿宋_GB2312"/>
          <w:sz w:val="32"/>
          <w:szCs w:val="32"/>
        </w:rPr>
        <w:t>6.75</w:t>
      </w:r>
      <w:r>
        <w:rPr>
          <w:rFonts w:hint="eastAsia" w:ascii="仿宋_GB2312" w:eastAsia="仿宋_GB2312"/>
          <w:sz w:val="32"/>
          <w:szCs w:val="32"/>
        </w:rPr>
        <w:t>万元，决算数</w:t>
      </w:r>
      <w:r>
        <w:rPr>
          <w:rFonts w:hint="eastAsia" w:ascii="仿宋_GB2312" w:eastAsia="仿宋_GB2312" w:cs="仿宋_GB2312"/>
          <w:sz w:val="32"/>
          <w:szCs w:val="32"/>
        </w:rPr>
        <w:t>6</w:t>
      </w:r>
      <w:r>
        <w:rPr>
          <w:rFonts w:hint="eastAsia" w:ascii="仿宋_GB2312" w:eastAsia="仿宋_GB2312"/>
          <w:sz w:val="32"/>
          <w:szCs w:val="32"/>
        </w:rPr>
        <w:t>万元，预决算差异率</w:t>
      </w:r>
      <w:r>
        <w:rPr>
          <w:rFonts w:ascii="仿宋_GB2312" w:eastAsia="仿宋_GB2312" w:cs="仿宋_GB2312"/>
          <w:sz w:val="32"/>
          <w:szCs w:val="32"/>
        </w:rPr>
        <w:t>-11.11</w:t>
      </w:r>
      <w:r>
        <w:rPr>
          <w:rFonts w:hint="eastAsia" w:ascii="仿宋_GB2312" w:eastAsia="仿宋_GB2312"/>
          <w:sz w:val="32"/>
          <w:szCs w:val="32"/>
        </w:rPr>
        <w:t>%，差异主要原因认真贯彻落实中央和自治区厉行节约的各项规定，严格控制和降低行政运行成本，大力压缩“三公”经费支出规模，预决算无差异。</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预算数0万元，决算数0万元，预决算差异率0%，差异主要原因预决算无差异；</w:t>
      </w:r>
      <w:r>
        <w:rPr>
          <w:rFonts w:hint="eastAsia" w:ascii="仿宋_GB2312" w:hAnsi="宋体" w:eastAsia="仿宋_GB2312" w:cs="宋体"/>
          <w:kern w:val="0"/>
          <w:sz w:val="32"/>
          <w:szCs w:val="32"/>
        </w:rPr>
        <w:t>公务用车购置</w:t>
      </w:r>
      <w:r>
        <w:rPr>
          <w:rFonts w:hint="eastAsia" w:ascii="仿宋_GB2312" w:eastAsia="仿宋_GB2312"/>
          <w:sz w:val="32"/>
          <w:szCs w:val="32"/>
        </w:rPr>
        <w:t>预算数0万元，决算数0万元，预决算差异率0%，差异主要原因</w:t>
      </w:r>
      <w:r>
        <w:rPr>
          <w:rFonts w:hint="eastAsia" w:ascii="仿宋_GB2312" w:eastAsia="仿宋_GB2312" w:cs="仿宋_GB2312"/>
          <w:sz w:val="32"/>
          <w:szCs w:val="32"/>
        </w:rPr>
        <w:t>预决算无差异</w:t>
      </w:r>
      <w:r>
        <w:rPr>
          <w:rFonts w:hint="eastAsia" w:ascii="仿宋_GB2312" w:eastAsia="仿宋_GB2312"/>
          <w:sz w:val="32"/>
          <w:szCs w:val="32"/>
        </w:rPr>
        <w:t>；</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预算数6.75万元，决算数6万元，预决算差异率</w:t>
      </w:r>
      <w:r>
        <w:rPr>
          <w:rFonts w:ascii="仿宋_GB2312" w:eastAsia="仿宋_GB2312" w:cs="仿宋_GB2312"/>
          <w:sz w:val="32"/>
          <w:szCs w:val="32"/>
        </w:rPr>
        <w:t>-11.11</w:t>
      </w:r>
      <w:r>
        <w:rPr>
          <w:rFonts w:hint="eastAsia" w:ascii="仿宋_GB2312" w:eastAsia="仿宋_GB2312"/>
          <w:sz w:val="32"/>
          <w:szCs w:val="32"/>
        </w:rPr>
        <w:t>%，差异主要原因</w:t>
      </w:r>
      <w:r>
        <w:rPr>
          <w:rFonts w:hint="eastAsia" w:ascii="仿宋_GB2312" w:eastAsia="仿宋_GB2312" w:cs="仿宋_GB2312"/>
          <w:sz w:val="32"/>
          <w:szCs w:val="32"/>
        </w:rPr>
        <w:t>我单位严把车辆管控关，严格遵守公务车辆配置标准和管理制度，减少使用高耗油车辆，严禁公车私用，</w:t>
      </w:r>
      <w:r>
        <w:rPr>
          <w:rFonts w:hint="eastAsia" w:ascii="仿宋_GB2312" w:eastAsia="仿宋_GB2312"/>
          <w:sz w:val="32"/>
          <w:szCs w:val="32"/>
        </w:rPr>
        <w:t>；</w:t>
      </w:r>
      <w:r>
        <w:rPr>
          <w:rFonts w:hint="eastAsia" w:ascii="仿宋_GB2312" w:hAnsi="宋体" w:eastAsia="仿宋_GB2312" w:cs="宋体"/>
          <w:kern w:val="0"/>
          <w:sz w:val="32"/>
          <w:szCs w:val="32"/>
        </w:rPr>
        <w:t>公务接待费</w:t>
      </w:r>
      <w:r>
        <w:rPr>
          <w:rFonts w:hint="eastAsia" w:ascii="仿宋_GB2312" w:eastAsia="仿宋_GB2312"/>
          <w:sz w:val="32"/>
          <w:szCs w:val="32"/>
        </w:rPr>
        <w:t>预算数0万元，决算数0万元，预决算差异率0%，差异主要原因预决算无差异。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w:t>
      </w:r>
      <w:r>
        <w:rPr>
          <w:rFonts w:hint="eastAsia" w:ascii="仿宋_GB2312" w:eastAsia="仿宋_GB2312" w:cs="仿宋_GB2312"/>
          <w:sz w:val="32"/>
          <w:szCs w:val="32"/>
        </w:rPr>
        <w:t>新疆喀什地区叶城县住房和城乡建设局</w:t>
      </w:r>
      <w:r>
        <w:rPr>
          <w:rFonts w:hint="eastAsia" w:ascii="仿宋_GB2312" w:eastAsia="仿宋_GB2312"/>
          <w:sz w:val="32"/>
          <w:szCs w:val="32"/>
        </w:rPr>
        <w:t>机关运行经费支出15.62万元，比上年减少12.18万元，降低43.81%，主要原因是认真贯彻落实中央和自治区厉行节约的各项规定，严格控制和降低行政运行成本，大力压缩“三公”经费支出规模。</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51" w:name="OLE_LINK45"/>
      <w:r>
        <w:rPr>
          <w:rFonts w:hint="eastAsia" w:ascii="仿宋_GB2312" w:eastAsia="仿宋_GB2312" w:cs="仿宋_GB2312"/>
          <w:sz w:val="32"/>
          <w:szCs w:val="32"/>
        </w:rPr>
        <w:t>政府采购支出总额</w:t>
      </w:r>
      <w:bookmarkEnd w:id="51"/>
      <w:r>
        <w:rPr>
          <w:rFonts w:ascii="仿宋_GB2312" w:eastAsia="仿宋_GB2312" w:cs="仿宋_GB2312"/>
          <w:sz w:val="32"/>
          <w:szCs w:val="32"/>
        </w:rPr>
        <w:t>1,354.85</w:t>
      </w:r>
      <w:r>
        <w:rPr>
          <w:rFonts w:hint="eastAsia" w:ascii="仿宋_GB2312" w:eastAsia="仿宋_GB2312" w:cs="仿宋_GB2312"/>
          <w:sz w:val="32"/>
          <w:szCs w:val="32"/>
        </w:rPr>
        <w:t>万元，其中：</w:t>
      </w:r>
      <w:bookmarkStart w:id="52" w:name="OLE_LINK46"/>
      <w:r>
        <w:rPr>
          <w:rFonts w:hint="eastAsia" w:ascii="仿宋_GB2312" w:eastAsia="仿宋_GB2312" w:cs="仿宋_GB2312"/>
          <w:sz w:val="32"/>
          <w:szCs w:val="32"/>
        </w:rPr>
        <w:t>政府采购货物支出</w:t>
      </w:r>
      <w:bookmarkEnd w:id="52"/>
      <w:r>
        <w:rPr>
          <w:rFonts w:ascii="仿宋_GB2312" w:eastAsia="仿宋_GB2312" w:cs="仿宋_GB2312"/>
          <w:sz w:val="32"/>
          <w:szCs w:val="32"/>
        </w:rPr>
        <w:t>428.63</w:t>
      </w:r>
      <w:r>
        <w:rPr>
          <w:rFonts w:hint="eastAsia" w:ascii="仿宋_GB2312" w:eastAsia="仿宋_GB2312" w:cs="仿宋_GB2312"/>
          <w:sz w:val="32"/>
          <w:szCs w:val="32"/>
        </w:rPr>
        <w:t>万元、</w:t>
      </w:r>
      <w:bookmarkStart w:id="53" w:name="OLE_LINK47"/>
      <w:r>
        <w:rPr>
          <w:rFonts w:hint="eastAsia" w:ascii="仿宋_GB2312" w:eastAsia="仿宋_GB2312" w:cs="仿宋_GB2312"/>
          <w:sz w:val="32"/>
          <w:szCs w:val="32"/>
        </w:rPr>
        <w:t>政府采购工程支出</w:t>
      </w:r>
      <w:bookmarkEnd w:id="53"/>
      <w:r>
        <w:rPr>
          <w:rFonts w:ascii="仿宋_GB2312" w:eastAsia="仿宋_GB2312" w:cs="仿宋_GB2312"/>
          <w:sz w:val="32"/>
          <w:szCs w:val="32"/>
        </w:rPr>
        <w:t>0</w:t>
      </w:r>
      <w:r>
        <w:rPr>
          <w:rFonts w:hint="eastAsia" w:ascii="仿宋_GB2312" w:eastAsia="仿宋_GB2312" w:cs="仿宋_GB2312"/>
          <w:sz w:val="32"/>
          <w:szCs w:val="32"/>
        </w:rPr>
        <w:t>万元、</w:t>
      </w:r>
      <w:bookmarkStart w:id="54" w:name="OLE_LINK48"/>
      <w:r>
        <w:rPr>
          <w:rFonts w:hint="eastAsia" w:ascii="仿宋_GB2312" w:eastAsia="仿宋_GB2312" w:cs="仿宋_GB2312"/>
          <w:sz w:val="32"/>
          <w:szCs w:val="32"/>
        </w:rPr>
        <w:t>政府采购服务支出</w:t>
      </w:r>
      <w:bookmarkEnd w:id="54"/>
      <w:r>
        <w:rPr>
          <w:rFonts w:ascii="仿宋_GB2312" w:eastAsia="仿宋_GB2312" w:cs="仿宋_GB2312"/>
          <w:sz w:val="32"/>
          <w:szCs w:val="32"/>
        </w:rPr>
        <w:t>926.22</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55"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7</w:t>
      </w:r>
      <w:r>
        <w:rPr>
          <w:rFonts w:hint="eastAsia" w:ascii="仿宋_GB2312" w:eastAsia="仿宋_GB2312" w:cs="仿宋_GB2312"/>
          <w:sz w:val="32"/>
          <w:szCs w:val="32"/>
        </w:rPr>
        <w:t>辆，价值</w:t>
      </w:r>
      <w:r>
        <w:rPr>
          <w:rFonts w:ascii="仿宋_GB2312" w:eastAsia="仿宋_GB2312" w:cs="仿宋_GB2312"/>
          <w:sz w:val="32"/>
          <w:szCs w:val="32"/>
        </w:rPr>
        <w:t>123.07</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2</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5</w:t>
      </w:r>
      <w:r>
        <w:rPr>
          <w:rFonts w:hint="eastAsia" w:ascii="仿宋_GB2312" w:eastAsia="仿宋_GB2312" w:cs="仿宋_GB2312"/>
          <w:sz w:val="32"/>
          <w:szCs w:val="32"/>
        </w:rPr>
        <w:t>辆，其他用车主要是：一般工作用车3辆、城市管理用车2辆；单位价值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5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 新疆喀什地区叶城县住房和城乡建设局2018年度部门预算总额为151432.83万元，执行金额为151432.83万元，预算执行率为100%。本次自评共涉及项目数8个，其中已完成项目8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1、城乡规划编制项目绩效自评综述：根据年初设定的绩效目标，该项目绩效自评得分为97分。项目全年预算数为578万元，执行数为578万元，完成预算的100%。主要产出和效果：1.产出指标完成情况分析。 (1)项目完成数量。</w:t>
      </w:r>
      <w:r>
        <w:rPr>
          <w:rFonts w:hint="eastAsia" w:ascii="仿宋_GB2312" w:hAnsi="仿宋" w:eastAsia="仿宋_GB2312" w:cs="仿宋"/>
          <w:bCs/>
          <w:spacing w:val="-4"/>
          <w:sz w:val="32"/>
          <w:szCs w:val="32"/>
        </w:rPr>
        <w:t>城乡规划编制项目3个，</w:t>
      </w:r>
      <w:r>
        <w:rPr>
          <w:rFonts w:hint="eastAsia" w:ascii="仿宋_GB2312" w:hAnsi="仿宋" w:eastAsia="仿宋_GB2312" w:cs="仿宋"/>
          <w:kern w:val="0"/>
          <w:sz w:val="32"/>
          <w:szCs w:val="32"/>
        </w:rPr>
        <w:t>完成率为100%</w:t>
      </w:r>
      <w:r>
        <w:rPr>
          <w:rFonts w:hint="eastAsia" w:ascii="仿宋_GB2312" w:hAnsi="仿宋" w:eastAsia="仿宋_GB2312" w:cs="仿宋"/>
          <w:bCs/>
          <w:spacing w:val="-4"/>
          <w:sz w:val="32"/>
          <w:szCs w:val="32"/>
        </w:rPr>
        <w:t>。截至2018年绩效自评时,该项目年度设定的预期目标全部完成,完成率为100%。《棚户区改造项目24个社区控制性详细规划编制》、《县绿地系统及园林城市专项规划》和《叶城县棚户区改造方案》进行评估、完善，并就重点地区开展建筑风貌深化方案设计》</w:t>
      </w:r>
      <w:r>
        <w:rPr>
          <w:rFonts w:hint="eastAsia" w:ascii="仿宋_GB2312" w:hAnsi="仿宋_GB2312" w:eastAsia="仿宋_GB2312" w:cs="仿宋_GB2312"/>
          <w:sz w:val="32"/>
          <w:szCs w:val="32"/>
        </w:rPr>
        <w:t>。 (2)项目完成质量。</w:t>
      </w:r>
      <w:r>
        <w:rPr>
          <w:rFonts w:hint="eastAsia" w:ascii="仿宋_GB2312" w:hAnsi="仿宋" w:eastAsia="仿宋_GB2312" w:cs="仿宋"/>
          <w:kern w:val="0"/>
          <w:sz w:val="32"/>
          <w:szCs w:val="32"/>
        </w:rPr>
        <w:t>数据真实有效率100%，项目验收合格率100%，根据项目实施完成后的结果来看,我单位严格以高质量的项目完成情况来执行,完成率为100%</w:t>
      </w:r>
      <w:r>
        <w:rPr>
          <w:rFonts w:hint="eastAsia" w:ascii="仿宋_GB2312" w:hAnsi="仿宋_GB2312" w:eastAsia="仿宋_GB2312" w:cs="仿宋_GB2312"/>
          <w:sz w:val="32"/>
          <w:szCs w:val="32"/>
        </w:rPr>
        <w:t>。 (3)项目实施进度。</w:t>
      </w:r>
      <w:r>
        <w:rPr>
          <w:rFonts w:hint="eastAsia" w:ascii="仿宋_GB2312" w:hAnsi="仿宋" w:eastAsia="仿宋_GB2312" w:cs="仿宋"/>
          <w:kern w:val="0"/>
          <w:sz w:val="32"/>
          <w:szCs w:val="32"/>
        </w:rPr>
        <w:t>项目及时完成率100%，根据项目实施完成后的结果来看,我单位严格以高质量的项目完成情况来执行,完成率为100%。</w:t>
      </w:r>
      <w:r>
        <w:rPr>
          <w:rFonts w:hint="eastAsia" w:ascii="仿宋_GB2312" w:hAnsi="仿宋_GB2312" w:eastAsia="仿宋_GB2312" w:cs="仿宋_GB2312"/>
          <w:sz w:val="32"/>
          <w:szCs w:val="32"/>
        </w:rPr>
        <w:t>。 (4)项目成本节约情况。</w:t>
      </w:r>
      <w:r>
        <w:rPr>
          <w:rFonts w:hint="eastAsia" w:ascii="仿宋_GB2312" w:hAnsi="仿宋" w:eastAsia="仿宋_GB2312" w:cs="仿宋"/>
          <w:bCs/>
          <w:spacing w:val="-4"/>
          <w:sz w:val="32"/>
          <w:szCs w:val="32"/>
        </w:rPr>
        <w:t>棚户区改造规划成本388万元，绿地系统规划成本90万元，棚户区改造完善成本100万元，我单位在执行该类项目时,严格控制成本在预算之内,坚决杜绝资金浪费现象的产生,效果良好</w:t>
      </w:r>
      <w:r>
        <w:rPr>
          <w:rFonts w:hint="eastAsia" w:ascii="仿宋_GB2312" w:hAnsi="仿宋_GB2312" w:eastAsia="仿宋_GB2312" w:cs="仿宋_GB2312"/>
          <w:sz w:val="32"/>
          <w:szCs w:val="32"/>
        </w:rPr>
        <w:t>。 2.效益指标完成情况分析。 (1)项目实施的经济效益分析。无。 (2)项目实施的社会效益分析。</w:t>
      </w:r>
      <w:r>
        <w:rPr>
          <w:rFonts w:hint="eastAsia" w:ascii="仿宋_GB2312" w:hAnsi="仿宋" w:eastAsia="仿宋_GB2312" w:cs="仿宋"/>
          <w:kern w:val="0"/>
          <w:sz w:val="32"/>
          <w:szCs w:val="32"/>
        </w:rPr>
        <w:t>该项目的实施有利于提高相关人员规划意识。</w:t>
      </w:r>
      <w:r>
        <w:rPr>
          <w:rFonts w:hint="eastAsia" w:ascii="仿宋_GB2312" w:hAnsi="仿宋_GB2312" w:eastAsia="仿宋_GB2312" w:cs="仿宋_GB2312"/>
          <w:sz w:val="32"/>
          <w:szCs w:val="32"/>
        </w:rPr>
        <w:t>。 (3)项目实施的生态效益分析。无。 (4)项目实施的可持续影响分析。</w:t>
      </w:r>
      <w:r>
        <w:rPr>
          <w:rFonts w:hint="eastAsia" w:ascii="仿宋_GB2312" w:hAnsi="仿宋" w:eastAsia="仿宋_GB2312" w:cs="仿宋"/>
          <w:kern w:val="0"/>
          <w:sz w:val="32"/>
          <w:szCs w:val="32"/>
        </w:rPr>
        <w:t>该项目的实施有利于提升城乡规划编制率超过98%，完成率100%</w:t>
      </w:r>
      <w:r>
        <w:rPr>
          <w:rFonts w:hint="eastAsia" w:ascii="仿宋_GB2312" w:hAnsi="仿宋_GB2312" w:eastAsia="仿宋_GB2312" w:cs="仿宋_GB2312"/>
          <w:sz w:val="32"/>
          <w:szCs w:val="32"/>
        </w:rPr>
        <w:t>。 3.满意度指标完成情况分析。按计划完成项目实施，通过满意度调查，服务对象满意度98%指标完成。发现的问题及原因：不存在问题。下一步改进措施：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2、叶城县夜市钢结构房屋及附属工程建设项目绩效自评综述：根据年初设定的绩效目标，该项目绩效自评得分为98分。项目全年预算数为800万元，执行数为800万元，完成预算的100%。主要产出和效果：1.产出指标完成情况分析。 (1)项目完成数量。</w:t>
      </w:r>
      <w:r>
        <w:rPr>
          <w:rFonts w:hint="eastAsia" w:ascii="仿宋_GB2312" w:hAnsi="仿宋" w:eastAsia="仿宋_GB2312" w:cs="宋体"/>
          <w:kern w:val="0"/>
          <w:sz w:val="32"/>
          <w:szCs w:val="32"/>
        </w:rPr>
        <w:t>土建面积（含卫生间改造）及内配套2484平方米，钢结构建筑面积2374平方米，室外附属地坪及亮化3500平方米，音响系统舞台灯光1套，完成率100%</w:t>
      </w:r>
      <w:r>
        <w:rPr>
          <w:rFonts w:hint="eastAsia" w:ascii="仿宋_GB2312" w:hAnsi="仿宋_GB2312" w:eastAsia="仿宋_GB2312" w:cs="仿宋_GB2312"/>
          <w:sz w:val="32"/>
          <w:szCs w:val="32"/>
        </w:rPr>
        <w:t>。 (2)项目完成质量。</w:t>
      </w:r>
      <w:r>
        <w:rPr>
          <w:rFonts w:hint="eastAsia" w:ascii="仿宋_GB2312" w:hAnsi="仿宋" w:eastAsia="仿宋_GB2312" w:cs="宋体"/>
          <w:kern w:val="0"/>
          <w:sz w:val="32"/>
          <w:szCs w:val="32"/>
        </w:rPr>
        <w:t>项目（工程）验收合格率100%，完成率100%，按照施工工序施工，项目（工程）验收合格</w:t>
      </w:r>
      <w:r>
        <w:rPr>
          <w:rFonts w:hint="eastAsia" w:ascii="仿宋_GB2312" w:hAnsi="仿宋_GB2312" w:eastAsia="仿宋_GB2312" w:cs="仿宋_GB2312"/>
          <w:sz w:val="32"/>
          <w:szCs w:val="32"/>
        </w:rPr>
        <w:t>。 (3)项目实施进度。</w:t>
      </w:r>
      <w:r>
        <w:rPr>
          <w:rFonts w:hint="eastAsia" w:ascii="仿宋_GB2312" w:hAnsi="仿宋" w:eastAsia="仿宋_GB2312" w:cs="宋体"/>
          <w:kern w:val="0"/>
          <w:sz w:val="32"/>
          <w:szCs w:val="32"/>
        </w:rPr>
        <w:t>项目（工程）完成及时率100%，项目已经按照合同实施完毕</w:t>
      </w:r>
      <w:r>
        <w:rPr>
          <w:rFonts w:hint="eastAsia" w:ascii="仿宋_GB2312" w:hAnsi="仿宋_GB2312" w:eastAsia="仿宋_GB2312" w:cs="仿宋_GB2312"/>
          <w:sz w:val="32"/>
          <w:szCs w:val="32"/>
        </w:rPr>
        <w:t>。 (4)项目成本节约情况。</w:t>
      </w:r>
      <w:r>
        <w:rPr>
          <w:rFonts w:hint="eastAsia" w:ascii="仿宋_GB2312" w:hAnsi="仿宋" w:eastAsia="仿宋_GB2312" w:cs="宋体"/>
          <w:kern w:val="0"/>
          <w:sz w:val="32"/>
          <w:szCs w:val="32"/>
        </w:rPr>
        <w:t>土建面积（含卫生间改造）及内配套1858.6元/平方米，钢结构单价565.8元/平方米，室外附属地坪及亮化828元/平方米，音响系统舞台灯光801093.85元，完成率100%。该项目经过预算，节约成本，按照竞标的最低价施工</w:t>
      </w:r>
      <w:r>
        <w:rPr>
          <w:rFonts w:hint="eastAsia" w:ascii="仿宋_GB2312" w:hAnsi="仿宋_GB2312" w:eastAsia="仿宋_GB2312" w:cs="仿宋_GB2312"/>
          <w:sz w:val="32"/>
          <w:szCs w:val="32"/>
        </w:rPr>
        <w:t>。 2.效益指标完成情况分析。 (1)项目实施的经济效益分析。夜</w:t>
      </w:r>
      <w:r>
        <w:rPr>
          <w:rFonts w:hint="eastAsia" w:ascii="仿宋_GB2312" w:hAnsi="仿宋" w:eastAsia="仿宋_GB2312" w:cs="宋体"/>
          <w:kern w:val="0"/>
          <w:sz w:val="32"/>
          <w:szCs w:val="32"/>
        </w:rPr>
        <w:t>夜市经营者年均收益84万元，完成率100%</w:t>
      </w:r>
      <w:r>
        <w:rPr>
          <w:rFonts w:hint="eastAsia" w:ascii="仿宋_GB2312" w:hAnsi="仿宋_GB2312" w:eastAsia="仿宋_GB2312" w:cs="仿宋_GB2312"/>
          <w:sz w:val="32"/>
          <w:szCs w:val="32"/>
        </w:rPr>
        <w:t>。 (2)项目实施的社会效益分析。</w:t>
      </w:r>
      <w:r>
        <w:rPr>
          <w:rFonts w:hint="eastAsia" w:ascii="仿宋_GB2312" w:hAnsi="仿宋" w:eastAsia="仿宋_GB2312" w:cs="宋体"/>
          <w:kern w:val="0"/>
          <w:sz w:val="32"/>
          <w:szCs w:val="32"/>
        </w:rPr>
        <w:t>受益建档立卡贫困人口数15人，提供贫困户就业机会15人，完成率100%</w:t>
      </w:r>
      <w:r>
        <w:rPr>
          <w:rFonts w:hint="eastAsia" w:ascii="仿宋_GB2312" w:hAnsi="仿宋_GB2312" w:eastAsia="仿宋_GB2312" w:cs="仿宋_GB2312"/>
          <w:sz w:val="32"/>
          <w:szCs w:val="32"/>
        </w:rPr>
        <w:t>。 (3)项目实施的生态效益分析。无。 (4)项目实施的可持续影响分析。</w:t>
      </w:r>
      <w:r>
        <w:rPr>
          <w:rFonts w:hint="eastAsia" w:ascii="仿宋_GB2312" w:hAnsi="仿宋" w:eastAsia="仿宋_GB2312" w:cs="宋体"/>
          <w:kern w:val="0"/>
          <w:sz w:val="32"/>
          <w:szCs w:val="32"/>
        </w:rPr>
        <w:t>工程设计使用年限50年</w:t>
      </w:r>
      <w:r>
        <w:rPr>
          <w:rFonts w:hint="eastAsia" w:ascii="仿宋_GB2312" w:hAnsi="仿宋_GB2312" w:eastAsia="仿宋_GB2312" w:cs="仿宋_GB2312"/>
          <w:sz w:val="32"/>
          <w:szCs w:val="32"/>
        </w:rPr>
        <w:t>。 3.满意度指标完成情况分析。按计划完成项目实施，通过满意度调查，服务对象满意度指标完成</w:t>
      </w:r>
      <w:r>
        <w:rPr>
          <w:rFonts w:hint="eastAsia" w:ascii="仿宋_GB2312" w:hAnsi="仿宋" w:eastAsia="仿宋_GB2312" w:cs="宋体"/>
          <w:kern w:val="0"/>
          <w:sz w:val="32"/>
          <w:szCs w:val="32"/>
        </w:rPr>
        <w:t>个体就业者满意度98%，消费群众满意度98%，完成率100%</w:t>
      </w:r>
      <w:r>
        <w:rPr>
          <w:rFonts w:hint="eastAsia" w:ascii="仿宋_GB2312" w:hAnsi="仿宋_GB2312" w:eastAsia="仿宋_GB2312" w:cs="仿宋_GB2312"/>
          <w:sz w:val="32"/>
          <w:szCs w:val="32"/>
        </w:rPr>
        <w:t>。发现的问题及原因：不存在问题。下一步改进措施：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3、叶城县新城区排水改扩建工程项目绩效自评综述：根据年初设定的绩效目标，该项目绩效自评得分为96分。项目全年预算数为651.03万元，执行数为651.03万元，完成预算的100%。主要产出和效果：1.产出指标完成情况分析。 （1）项目完成数量。</w:t>
      </w:r>
      <w:r>
        <w:rPr>
          <w:rFonts w:hint="eastAsia" w:ascii="仿宋_GB2312" w:hAnsi="仿宋" w:eastAsia="仿宋_GB2312"/>
          <w:sz w:val="32"/>
          <w:szCs w:val="32"/>
        </w:rPr>
        <w:t>污水处理能力建设1500吨/日，污水改造排水管网公里数5千米，该项目年度设定的预期目标全部完成,完成率为100%</w:t>
      </w:r>
      <w:r>
        <w:rPr>
          <w:rFonts w:hint="eastAsia" w:ascii="仿宋_GB2312" w:hAnsi="仿宋_GB2312" w:eastAsia="仿宋_GB2312" w:cs="仿宋_GB2312"/>
          <w:sz w:val="32"/>
          <w:szCs w:val="32"/>
        </w:rPr>
        <w:t>。 （2）项目完成质量。</w:t>
      </w:r>
      <w:r>
        <w:rPr>
          <w:rFonts w:hint="eastAsia" w:ascii="仿宋_GB2312" w:hAnsi="仿宋" w:eastAsia="仿宋_GB2312"/>
          <w:sz w:val="32"/>
          <w:szCs w:val="32"/>
        </w:rPr>
        <w:t>污水处理厂改扩建项目验收合格率100%，根据项目实施完成后的结果来看,我单位严格以高质量的项目完成情况来执行,完成率为100%</w:t>
      </w:r>
      <w:r>
        <w:rPr>
          <w:rFonts w:hint="eastAsia" w:ascii="仿宋_GB2312" w:hAnsi="仿宋_GB2312" w:eastAsia="仿宋_GB2312" w:cs="仿宋_GB2312"/>
          <w:sz w:val="32"/>
          <w:szCs w:val="32"/>
        </w:rPr>
        <w:t>。 （3）项目实施进度。</w:t>
      </w:r>
      <w:r>
        <w:rPr>
          <w:rFonts w:hint="eastAsia" w:ascii="仿宋_GB2312" w:hAnsi="仿宋" w:eastAsia="仿宋_GB2312"/>
          <w:sz w:val="32"/>
          <w:szCs w:val="32"/>
        </w:rPr>
        <w:t>污水处理厂项目按时完工率100%。根据年初单位制定的实施方案,严格把控资金与项目实施进度相统一的原则,项目完成进度良好,当年完成率为100%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（4）项目成本节约情况。</w:t>
      </w:r>
      <w:r>
        <w:rPr>
          <w:rFonts w:hint="eastAsia" w:ascii="仿宋_GB2312" w:hAnsi="仿宋" w:eastAsia="仿宋_GB2312"/>
          <w:sz w:val="32"/>
          <w:szCs w:val="32"/>
        </w:rPr>
        <w:t>污水改造排水管网成本651.03万元/</w:t>
      </w:r>
      <w:r>
        <w:rPr>
          <w:rFonts w:hint="eastAsia" w:ascii="仿宋_GB2312" w:hAnsi="仿宋" w:eastAsia="仿宋"/>
          <w:sz w:val="32"/>
          <w:szCs w:val="32"/>
        </w:rPr>
        <w:t>㎞</w:t>
      </w:r>
      <w:r>
        <w:rPr>
          <w:rFonts w:hint="eastAsia" w:ascii="仿宋_GB2312" w:hAnsi="仿宋" w:eastAsia="仿宋_GB2312"/>
          <w:sz w:val="32"/>
          <w:szCs w:val="32"/>
        </w:rPr>
        <w:t>，按照节约成本的标准进行实施，将成本控制在预算范围内</w:t>
      </w:r>
      <w:r>
        <w:rPr>
          <w:rFonts w:hint="eastAsia" w:ascii="仿宋_GB2312" w:hAnsi="仿宋_GB2312" w:eastAsia="仿宋_GB2312" w:cs="仿宋_GB2312"/>
          <w:sz w:val="32"/>
          <w:szCs w:val="32"/>
        </w:rPr>
        <w:t>。 （1）项目实施的经济效益分析。 无。 （2）项目实施的社会效益分析。 不断改善城区人居环境。 （3）项目实施的生态效益分析。 无。 （4）项目实施的可持续影响分析。</w:t>
      </w:r>
      <w:r>
        <w:rPr>
          <w:rFonts w:hint="eastAsia" w:ascii="仿宋_GB2312" w:hAnsi="仿宋" w:eastAsia="仿宋_GB2312"/>
          <w:bCs/>
          <w:spacing w:val="-4"/>
          <w:sz w:val="32"/>
          <w:szCs w:val="32"/>
        </w:rPr>
        <w:t>污水处理厂改扩建项目实施年限1年</w:t>
      </w:r>
      <w:r>
        <w:rPr>
          <w:rFonts w:hint="eastAsia" w:ascii="仿宋_GB2312" w:hAnsi="仿宋_GB2312" w:eastAsia="仿宋_GB2312" w:cs="仿宋_GB2312"/>
          <w:sz w:val="32"/>
          <w:szCs w:val="32"/>
        </w:rPr>
        <w:t>。 3.满意度指标完成情况分析。 按计划完成项目实施，通过满意度调查，</w:t>
      </w:r>
      <w:r>
        <w:rPr>
          <w:rFonts w:hint="eastAsia" w:ascii="仿宋_GB2312" w:hAnsi="仿宋" w:eastAsia="仿宋_GB2312" w:cs="宋体"/>
          <w:kern w:val="0"/>
          <w:sz w:val="32"/>
          <w:szCs w:val="32"/>
        </w:rPr>
        <w:t>群众满意度96%，完成率100%。</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4、污水处理厂补贴项目绩效自评综述：根据年初设定的绩效目标，该项目绩效自评得分为96分。项目全年预算数为2,218.45万元，执行数为2,218.45万元，完成预算的100%。主要产出和效果：1.产出指标完成情况分析。 (1)项目完成数量。</w:t>
      </w:r>
      <w:r>
        <w:rPr>
          <w:rFonts w:hint="eastAsia" w:ascii="仿宋_GB2312" w:hAnsi="仿宋_GB2312" w:eastAsia="仿宋_GB2312" w:cs="仿宋_GB2312"/>
          <w:kern w:val="0"/>
          <w:sz w:val="32"/>
          <w:szCs w:val="32"/>
        </w:rPr>
        <w:t xml:space="preserve">污水处理补贴量1.41万吨，完成率为100%。 </w:t>
      </w:r>
      <w:r>
        <w:rPr>
          <w:rFonts w:hint="eastAsia" w:ascii="仿宋_GB2312" w:hAnsi="仿宋_GB2312" w:eastAsia="仿宋_GB2312" w:cs="仿宋_GB2312"/>
          <w:sz w:val="32"/>
          <w:szCs w:val="32"/>
        </w:rPr>
        <w:t xml:space="preserve"> (2)项目完成质量。</w:t>
      </w:r>
      <w:r>
        <w:rPr>
          <w:rFonts w:hint="eastAsia" w:ascii="仿宋_GB2312" w:hAnsi="仿宋_GB2312" w:eastAsia="仿宋_GB2312" w:cs="仿宋_GB2312"/>
          <w:kern w:val="0"/>
          <w:sz w:val="32"/>
          <w:szCs w:val="32"/>
        </w:rPr>
        <w:t>全年出水各项指标达标98%，污水处理厂运营质量达标率99%，出水指标达到《城镇污水处理厂污染物排放标准》达二级标准，完成率为100%。根据项目实施完成后的结果来看，我单位严格以高质量的项目完成情况来执行</w:t>
      </w:r>
      <w:r>
        <w:rPr>
          <w:rFonts w:hint="eastAsia" w:ascii="仿宋_GB2312" w:hAnsi="仿宋_GB2312" w:eastAsia="仿宋_GB2312" w:cs="仿宋_GB2312"/>
          <w:sz w:val="32"/>
          <w:szCs w:val="32"/>
        </w:rPr>
        <w:t>。 (3)项目实施进度。</w:t>
      </w:r>
      <w:r>
        <w:rPr>
          <w:rFonts w:hint="eastAsia" w:ascii="仿宋_GB2312" w:hAnsi="仿宋_GB2312" w:eastAsia="仿宋_GB2312" w:cs="仿宋_GB2312"/>
          <w:kern w:val="0"/>
          <w:sz w:val="32"/>
          <w:szCs w:val="32"/>
        </w:rPr>
        <w:t>项目完成及时率100%。根据年初单位制定的实施方案,严格把控资金与项目实施进度相统一的原则,项目完成进度良好,当年完成率为100%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(4)项目成本节约情况。</w:t>
      </w:r>
      <w:r>
        <w:rPr>
          <w:rFonts w:hint="eastAsia" w:ascii="仿宋_GB2312" w:hAnsi="仿宋_GB2312" w:eastAsia="仿宋_GB2312" w:cs="仿宋_GB2312"/>
          <w:kern w:val="0"/>
          <w:sz w:val="32"/>
          <w:szCs w:val="32"/>
        </w:rPr>
        <w:t>污水处理补贴单价1.57元/立方米，我单位在执行该类项目时,严格控制成本在预算之内,坚决杜绝资金浪费现象的产生,从项目实施结果中反映效果良好</w:t>
      </w:r>
      <w:r>
        <w:rPr>
          <w:rFonts w:hint="eastAsia" w:ascii="仿宋_GB2312" w:hAnsi="仿宋_GB2312" w:eastAsia="仿宋_GB2312" w:cs="仿宋_GB2312"/>
          <w:sz w:val="32"/>
          <w:szCs w:val="32"/>
        </w:rPr>
        <w:t>。 2.效益指标完成情况分析。 (1)项目实施的经济效益分析。</w:t>
      </w:r>
      <w:r>
        <w:rPr>
          <w:rFonts w:hint="eastAsia" w:ascii="仿宋_GB2312" w:hAnsi="仿宋_GB2312" w:eastAsia="仿宋_GB2312" w:cs="仿宋_GB2312"/>
          <w:kern w:val="0"/>
          <w:sz w:val="32"/>
          <w:szCs w:val="32"/>
        </w:rPr>
        <w:t>经营利润达到目标值率97%，全年处理水费2218.44万元，2018全年处理水费按计划完成</w:t>
      </w:r>
      <w:r>
        <w:rPr>
          <w:rFonts w:hint="eastAsia" w:ascii="仿宋_GB2312" w:hAnsi="仿宋_GB2312" w:eastAsia="仿宋_GB2312" w:cs="仿宋_GB2312"/>
          <w:sz w:val="32"/>
          <w:szCs w:val="32"/>
        </w:rPr>
        <w:t>。 (2)项目实施的社会效益分析。</w:t>
      </w:r>
      <w:r>
        <w:rPr>
          <w:rFonts w:hint="eastAsia" w:ascii="仿宋_GB2312" w:hAnsi="仿宋_GB2312" w:eastAsia="仿宋_GB2312" w:cs="仿宋_GB2312"/>
          <w:kern w:val="0"/>
          <w:sz w:val="32"/>
          <w:szCs w:val="32"/>
        </w:rPr>
        <w:t>解决服务区域及下游城市的水污染问题超过99%，为城市服务可改善城市市容提供卫生水平</w:t>
      </w:r>
      <w:r>
        <w:rPr>
          <w:rFonts w:hint="eastAsia" w:ascii="仿宋_GB2312" w:hAnsi="仿宋_GB2312" w:eastAsia="仿宋_GB2312" w:cs="仿宋_GB2312"/>
          <w:sz w:val="32"/>
          <w:szCs w:val="32"/>
        </w:rPr>
        <w:t>。 (3)项目实施的生态效益分析。无。 (4)项目实施的可持续影响分析。项目持续年限1年。 3.满意度指标完成情况分析。按计划完成项目实施，通过满意度调查，</w:t>
      </w:r>
      <w:r>
        <w:rPr>
          <w:rFonts w:hint="eastAsia" w:ascii="仿宋_GB2312" w:hAnsi="仿宋" w:eastAsia="仿宋_GB2312" w:cs="宋体"/>
          <w:kern w:val="0"/>
          <w:sz w:val="32"/>
          <w:szCs w:val="32"/>
        </w:rPr>
        <w:t>受益对象满意度超过99%，</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5、棚户区改造资金及利息、城市基础设施建设、保障性住房资金项目绩效自评综述：根据年初设定的绩效目标，该项目绩效自评得分为95分。项目全年预算数为74,077.06万元，执行数为74,077.06万元，完成预算的100%。主要产出和效果：1.产出指标完成情况分析。 (1)项目完成数量。</w:t>
      </w:r>
      <w:r>
        <w:rPr>
          <w:rFonts w:hint="eastAsia" w:ascii="仿宋_GB2312" w:hAnsi="仿宋_GB2312" w:eastAsia="仿宋_GB2312" w:cs="仿宋_GB2312"/>
          <w:kern w:val="0"/>
          <w:sz w:val="32"/>
          <w:szCs w:val="32"/>
        </w:rPr>
        <w:t>棚户区改造户数3277户，公共租赁住房建设套数3555套，电力、燃气、给排水1832.43米，围栏10000米，安装地点14处，截至2018年绩效自评时,该项目年度设定的预期目标全部完成,完成率为100%</w:t>
      </w:r>
      <w:r>
        <w:rPr>
          <w:rFonts w:hint="eastAsia" w:ascii="仿宋_GB2312" w:hAnsi="仿宋_GB2312" w:eastAsia="仿宋_GB2312" w:cs="仿宋_GB2312"/>
          <w:sz w:val="32"/>
          <w:szCs w:val="32"/>
        </w:rPr>
        <w:t>。 (3)项目实施进度。</w:t>
      </w:r>
      <w:r>
        <w:rPr>
          <w:rFonts w:hint="eastAsia" w:ascii="仿宋_GB2312" w:hAnsi="仿宋_GB2312" w:eastAsia="仿宋_GB2312" w:cs="仿宋_GB2312"/>
          <w:kern w:val="0"/>
          <w:sz w:val="32"/>
          <w:szCs w:val="32"/>
        </w:rPr>
        <w:t>项目完工及时率100%，根据年初单位制定的实施方案,严格把控资金与项目实施进度相统一的原则,项目完成进度良好,当年完成率为100%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(4)项目成本节约情况。</w:t>
      </w:r>
      <w:r>
        <w:rPr>
          <w:rFonts w:hint="eastAsia" w:ascii="仿宋_GB2312" w:hAnsi="仿宋_GB2312" w:eastAsia="仿宋_GB2312" w:cs="仿宋_GB2312"/>
          <w:kern w:val="0"/>
          <w:sz w:val="32"/>
          <w:szCs w:val="32"/>
        </w:rPr>
        <w:t>房建平均单价1530元/平方米，配套设施建设平均单价400元/平方米，房屋拆迁补偿平均价152570元/户，我单位在执行该类项目时,严格控制成本在预算之内,坚决杜绝资金浪费现象的产生</w:t>
      </w:r>
      <w:r>
        <w:rPr>
          <w:rFonts w:hint="eastAsia" w:ascii="仿宋_GB2312" w:hAnsi="仿宋_GB2312" w:eastAsia="仿宋_GB2312" w:cs="仿宋_GB2312"/>
          <w:sz w:val="32"/>
          <w:szCs w:val="32"/>
        </w:rPr>
        <w:t>。 2.效益指标完成情况分析。 (1)项目实施的经济效益分析。无 (2)项目实施的社会效益分析。</w:t>
      </w:r>
      <w:r>
        <w:rPr>
          <w:rFonts w:hint="eastAsia" w:ascii="仿宋_GB2312" w:hAnsi="仿宋_GB2312" w:eastAsia="仿宋_GB2312" w:cs="仿宋_GB2312"/>
          <w:kern w:val="0"/>
          <w:sz w:val="32"/>
          <w:szCs w:val="32"/>
        </w:rPr>
        <w:t>不断改善城区人居环境95%，完成率100%</w:t>
      </w:r>
      <w:r>
        <w:rPr>
          <w:rFonts w:hint="eastAsia" w:ascii="仿宋_GB2312" w:hAnsi="仿宋_GB2312" w:eastAsia="仿宋_GB2312" w:cs="仿宋_GB2312"/>
          <w:sz w:val="32"/>
          <w:szCs w:val="32"/>
        </w:rPr>
        <w:t>。 (3)项目实施的生态效益分析。无。 (4)项目实施的可持续影响分析。项目实施年限1年。 3.满意度指标完成情况分析。按计划完成项目实施，通过满意度调查，</w:t>
      </w:r>
      <w:r>
        <w:rPr>
          <w:rFonts w:hint="eastAsia" w:ascii="仿宋_GB2312" w:hAnsi="仿宋_GB2312" w:eastAsia="仿宋_GB2312" w:cs="仿宋_GB2312"/>
          <w:kern w:val="0"/>
          <w:sz w:val="32"/>
          <w:szCs w:val="32"/>
        </w:rPr>
        <w:t>受益群众满意度96%，完成率100%，</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6、城市基础设施维护费项目绩效自评综述：根据年初设定的绩效目标，该项目绩效自评得分为96分。项目全年预算数为225.06万元，执行数为225.06万元，完成预算的100%。主要产出和效果：1.产出指标完成情况分析。 (1)项目完成数量。</w:t>
      </w:r>
      <w:r>
        <w:rPr>
          <w:rFonts w:hint="eastAsia" w:ascii="仿宋_GB2312" w:hAnsi="仿宋" w:eastAsia="仿宋_GB2312" w:cs="宋体"/>
          <w:kern w:val="0"/>
          <w:sz w:val="32"/>
          <w:szCs w:val="32"/>
        </w:rPr>
        <w:t>维修维护种类超过5项。截至绩效自评时，该目标已完成，完成率100%</w:t>
      </w:r>
      <w:r>
        <w:rPr>
          <w:rFonts w:hint="eastAsia" w:ascii="仿宋_GB2312" w:hAnsi="仿宋_GB2312" w:eastAsia="仿宋_GB2312" w:cs="仿宋_GB2312"/>
          <w:sz w:val="32"/>
          <w:szCs w:val="32"/>
        </w:rPr>
        <w:t>。 (2)项目完成质量。</w:t>
      </w:r>
      <w:r>
        <w:rPr>
          <w:rFonts w:hint="eastAsia" w:ascii="仿宋_GB2312" w:hAnsi="仿宋" w:eastAsia="仿宋_GB2312" w:cs="宋体"/>
          <w:kern w:val="0"/>
          <w:sz w:val="32"/>
          <w:szCs w:val="32"/>
        </w:rPr>
        <w:t>项目验收合格率100%，根据项目实施完成后的结果来看,我单位严格以高质量的项目完成情况来执行,完成率为100%</w:t>
      </w:r>
      <w:r>
        <w:rPr>
          <w:rFonts w:hint="eastAsia" w:ascii="仿宋_GB2312" w:hAnsi="仿宋_GB2312" w:eastAsia="仿宋_GB2312" w:cs="仿宋_GB2312"/>
          <w:sz w:val="32"/>
          <w:szCs w:val="32"/>
        </w:rPr>
        <w:t>。 (3)项目实施进度。</w:t>
      </w:r>
      <w:r>
        <w:rPr>
          <w:rFonts w:hint="eastAsia" w:ascii="仿宋_GB2312" w:hAnsi="仿宋" w:eastAsia="仿宋_GB2312" w:cs="宋体"/>
          <w:kern w:val="0"/>
          <w:sz w:val="32"/>
          <w:szCs w:val="32"/>
        </w:rPr>
        <w:t>城区基础设施完成及时率超过95%。根据年初单位制定的实施方案,严格把控资金与项目实施进度相统一的原则, 项目已经按照合同实施完毕，当年完成率为100%</w:t>
      </w:r>
      <w:r>
        <w:rPr>
          <w:rFonts w:hint="eastAsia" w:ascii="仿宋_GB2312" w:hAnsi="仿宋_GB2312" w:eastAsia="仿宋_GB2312" w:cs="仿宋_GB2312"/>
          <w:sz w:val="32"/>
          <w:szCs w:val="32"/>
        </w:rPr>
        <w:t>。 (4)项目成本节约情况。</w:t>
      </w:r>
      <w:r>
        <w:rPr>
          <w:rFonts w:hint="eastAsia" w:ascii="仿宋_GB2312" w:hAnsi="仿宋" w:eastAsia="仿宋_GB2312" w:cs="宋体"/>
          <w:kern w:val="0"/>
          <w:sz w:val="32"/>
          <w:szCs w:val="32"/>
        </w:rPr>
        <w:t>城市基础设施建设维护成本费225.06万元，完成率为100%，我单位在执行该类项目时,严格控制成本在预算之内,坚决杜绝资金浪费现象的产生,按照竞标的最低价施工，城市基础设施维护后可使用持续时间较长</w:t>
      </w:r>
      <w:r>
        <w:rPr>
          <w:rFonts w:hint="eastAsia" w:ascii="仿宋_GB2312" w:hAnsi="仿宋_GB2312" w:eastAsia="仿宋_GB2312" w:cs="仿宋_GB2312"/>
          <w:sz w:val="32"/>
          <w:szCs w:val="32"/>
        </w:rPr>
        <w:t>。 2.效益指标完成情况分析。 (1)项目实施的经济效益分析。无。 (2)项目实施的社会效益分析。</w:t>
      </w:r>
      <w:r>
        <w:rPr>
          <w:rFonts w:hint="eastAsia" w:ascii="仿宋_GB2312" w:hAnsi="仿宋" w:eastAsia="仿宋_GB2312" w:cs="宋体"/>
          <w:kern w:val="0"/>
          <w:sz w:val="32"/>
          <w:szCs w:val="32"/>
        </w:rPr>
        <w:t>保障城市基础设施正常运行率超过98%，完成率100%</w:t>
      </w:r>
      <w:r>
        <w:rPr>
          <w:rFonts w:hint="eastAsia" w:ascii="仿宋_GB2312" w:hAnsi="仿宋_GB2312" w:eastAsia="仿宋_GB2312" w:cs="仿宋_GB2312"/>
          <w:sz w:val="32"/>
          <w:szCs w:val="32"/>
        </w:rPr>
        <w:t>。 (3)项目实施的生态效益分析。无。 (4)项目实施的可持续影响分析。</w:t>
      </w:r>
      <w:r>
        <w:rPr>
          <w:rFonts w:hint="eastAsia" w:ascii="仿宋_GB2312" w:hAnsi="仿宋" w:eastAsia="仿宋_GB2312" w:cs="宋体"/>
          <w:kern w:val="0"/>
          <w:sz w:val="32"/>
          <w:szCs w:val="32"/>
        </w:rPr>
        <w:t>城市基础设施建设维护时限1年</w:t>
      </w:r>
      <w:r>
        <w:rPr>
          <w:rFonts w:hint="eastAsia" w:ascii="仿宋_GB2312" w:hAnsi="仿宋_GB2312" w:eastAsia="仿宋_GB2312" w:cs="仿宋_GB2312"/>
          <w:sz w:val="32"/>
          <w:szCs w:val="32"/>
        </w:rPr>
        <w:t>。 3.满意度指标完成情况分析。按计划完成项目实施，通过满意度调查，</w:t>
      </w:r>
      <w:r>
        <w:rPr>
          <w:rFonts w:hint="eastAsia" w:ascii="仿宋_GB2312" w:hAnsi="仿宋" w:eastAsia="仿宋_GB2312" w:cs="宋体"/>
          <w:kern w:val="0"/>
          <w:sz w:val="32"/>
          <w:szCs w:val="32"/>
        </w:rPr>
        <w:t>群众满意度超过96%，完成率100%，</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7、城市道路电费项目绩效自评综述：根据年初设定的绩效目标，该项目绩效自评得分为96分。项目全年预算数为98.64万元，执行数为98.64万元，完成预算的100%。主要产出和效果：1.产出指标完成情况分析。 （1）项目完成数量。</w:t>
      </w:r>
      <w:r>
        <w:rPr>
          <w:rFonts w:hint="eastAsia" w:ascii="仿宋_GB2312" w:eastAsia="仿宋_GB2312"/>
          <w:bCs/>
          <w:kern w:val="0"/>
          <w:sz w:val="32"/>
          <w:szCs w:val="32"/>
        </w:rPr>
        <w:t>城市道路照明灯具数量133657个，城市道路照明用电量252.95万度。为保障全县各大街小巷的路灯、各景点亮化工作顺利进行，该目标已完成100%</w:t>
      </w:r>
      <w:r>
        <w:rPr>
          <w:rFonts w:hint="eastAsia" w:ascii="仿宋_GB2312" w:hAnsi="仿宋_GB2312" w:eastAsia="仿宋_GB2312" w:cs="仿宋_GB2312"/>
          <w:kern w:val="0"/>
          <w:sz w:val="32"/>
          <w:szCs w:val="32"/>
        </w:rPr>
        <w:t>。 （2）项目完成质量。</w:t>
      </w:r>
      <w:r>
        <w:rPr>
          <w:rFonts w:hint="eastAsia" w:ascii="仿宋_GB2312" w:eastAsia="仿宋_GB2312"/>
          <w:bCs/>
          <w:kern w:val="0"/>
          <w:sz w:val="32"/>
          <w:szCs w:val="32"/>
        </w:rPr>
        <w:t>城市道路电费保障亮灯率≥95%，城市道路电费用电量核定准确率100%。本单位严格按照实施计划，高质量完成项目建设。该目标已完成</w:t>
      </w:r>
      <w:r>
        <w:rPr>
          <w:rFonts w:hint="eastAsia" w:ascii="仿宋_GB2312" w:hAnsi="仿宋_GB2312" w:eastAsia="仿宋_GB2312" w:cs="仿宋_GB2312"/>
          <w:kern w:val="0"/>
          <w:sz w:val="32"/>
          <w:szCs w:val="32"/>
        </w:rPr>
        <w:t>。 （3）项目实施进度。城市道路</w:t>
      </w:r>
      <w:r>
        <w:rPr>
          <w:rFonts w:hint="eastAsia" w:ascii="仿宋_GB2312" w:hAnsi="仿宋_GB2312" w:eastAsia="仿宋_GB2312" w:cs="仿宋_GB2312"/>
          <w:sz w:val="32"/>
          <w:szCs w:val="32"/>
        </w:rPr>
        <w:t>电费支付及时率100%，为保障本年城市道路时刻照明，美化城市，能够做到及时支付道路电费。（4）项目成本节约情况。按照全国统一价格0.39元/度，成本控制在预算范围内。 2.效益指标完成情况分析。 （1）项目实施的经济效益分析。 无。 （2）项目实施的社会效益分析。</w:t>
      </w:r>
      <w:r>
        <w:rPr>
          <w:rStyle w:val="9"/>
          <w:rFonts w:hint="eastAsia" w:ascii="仿宋_GB2312" w:hAnsi="仿宋_GB2312" w:eastAsia="仿宋_GB2312" w:cs="仿宋_GB2312"/>
          <w:b w:val="0"/>
          <w:spacing w:val="-4"/>
          <w:sz w:val="32"/>
          <w:szCs w:val="32"/>
        </w:rPr>
        <w:t>不断</w:t>
      </w:r>
      <w:r>
        <w:rPr>
          <w:rFonts w:hint="eastAsia" w:ascii="仿宋_GB2312" w:hAnsi="仿宋_GB2312" w:eastAsia="仿宋_GB2312" w:cs="仿宋_GB2312"/>
          <w:sz w:val="32"/>
          <w:szCs w:val="32"/>
        </w:rPr>
        <w:t>提升道路和公共区域照明管理和服务水平，本单位加强资金管理，发挥资金使用效益。（3）项目实施的生态效益分析。 城市道路照明电费美化城市提升形象。 （4）项目实施的可持续影响分析。城市道路电费持续时限1年。 2. 满意度指标完成情况分析。 按计划完成项目实施，通过满意度调查，服务对象满意度指标完成。发现的问题及原因：不存在问题。下一步改进措施：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8、2018年保障性安居工程项目绩效自评综述：根据年初设定的绩效目标，该项目绩效自评得分为98分。项目全年预算数为72,784.59万元，执行数为72,784.59万元，完成预算的100%。主要产出和效果：1.产出指标完成情况分析。 （1）项目完成数量。</w:t>
      </w:r>
      <w:r>
        <w:rPr>
          <w:rStyle w:val="9"/>
          <w:rFonts w:hint="eastAsia" w:ascii="仿宋_GB2312" w:hAnsi="仿宋" w:eastAsia="仿宋_GB2312" w:cs="仿宋"/>
          <w:b w:val="0"/>
          <w:spacing w:val="-4"/>
          <w:sz w:val="32"/>
          <w:szCs w:val="32"/>
        </w:rPr>
        <w:t>棚户区改造户数8324户，公共租赁住房建设套数909套，道路5832.43米，围墙3096.69米，给排水管道铺设3255.23米，电力4354.3米，燃气连接入户2922户，新建保障性住房193套，换热站及锅炉房3座，完成率100%，通过加强资金管理，发挥资金效益，以上目标至今已完成</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（2）项目完成质量。</w:t>
      </w:r>
      <w:r>
        <w:rPr>
          <w:rStyle w:val="9"/>
          <w:rFonts w:hint="eastAsia" w:ascii="仿宋_GB2312" w:hAnsi="仿宋" w:eastAsia="仿宋_GB2312" w:cs="仿宋"/>
          <w:b w:val="0"/>
          <w:spacing w:val="-4"/>
          <w:sz w:val="32"/>
          <w:szCs w:val="32"/>
        </w:rPr>
        <w:t>项目验收合格率100%,完成率100%，从项目实施的结果上看，我单位严格按要求建设工程，保障了社会经济发展，该目标已完成</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（3）项目实施进度。</w:t>
      </w:r>
      <w:r>
        <w:rPr>
          <w:rStyle w:val="9"/>
          <w:rFonts w:hint="eastAsia" w:ascii="仿宋_GB2312" w:hAnsi="仿宋" w:eastAsia="仿宋_GB2312" w:cs="仿宋"/>
          <w:b w:val="0"/>
          <w:spacing w:val="-4"/>
          <w:sz w:val="32"/>
          <w:szCs w:val="32"/>
        </w:rPr>
        <w:t>项目完工及时率100%，完成率100%，我单位执行该项目严格按照计划开展实施，如期完成项目建设任务。</w:t>
      </w:r>
      <w:r>
        <w:rPr>
          <w:rFonts w:hint="eastAsia" w:ascii="仿宋_GB2312" w:hAnsi="仿宋_GB2312" w:eastAsia="仿宋_GB2312" w:cs="仿宋_GB2312"/>
          <w:sz w:val="32"/>
          <w:szCs w:val="32"/>
        </w:rPr>
        <w:t>（4）项目成本节约情况。</w:t>
      </w:r>
      <w:r>
        <w:rPr>
          <w:rStyle w:val="9"/>
          <w:rFonts w:hint="eastAsia" w:ascii="仿宋_GB2312" w:hAnsi="仿宋" w:eastAsia="仿宋_GB2312" w:cs="仿宋"/>
          <w:b w:val="0"/>
          <w:spacing w:val="-4"/>
          <w:sz w:val="32"/>
          <w:szCs w:val="32"/>
        </w:rPr>
        <w:t>房建平均单价1530元/平方米，配套设施建设平均单价400元/平方米，房屋拆迁补偿平均价152570元/户，完成率100%，成本控制在预算范围内。</w:t>
      </w:r>
      <w:r>
        <w:rPr>
          <w:rFonts w:hint="eastAsia" w:ascii="仿宋_GB2312" w:hAnsi="仿宋_GB2312" w:eastAsia="仿宋_GB2312" w:cs="仿宋_GB2312"/>
          <w:sz w:val="32"/>
          <w:szCs w:val="32"/>
        </w:rPr>
        <w:t>2.效益指标完成情况分析。 （1）项目实施的经济效益分析。 无 （2）项目实施的社会效益分析。</w:t>
      </w:r>
      <w:r>
        <w:rPr>
          <w:rStyle w:val="9"/>
          <w:rFonts w:hint="eastAsia" w:ascii="仿宋_GB2312" w:hAnsi="仿宋" w:eastAsia="仿宋_GB2312" w:cs="仿宋"/>
          <w:b w:val="0"/>
          <w:spacing w:val="-4"/>
          <w:sz w:val="32"/>
          <w:szCs w:val="32"/>
        </w:rPr>
        <w:t>改善人居条件9233户，完成率100%，通过该项目的开展进一步改善了叶城县的城市面貌，改善卫生环境，更加易于群众居住</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（3）项目实施的生态效益分析。</w:t>
      </w:r>
      <w:r>
        <w:rPr>
          <w:rStyle w:val="9"/>
          <w:rFonts w:hint="eastAsia" w:ascii="仿宋_GB2312" w:hAnsi="仿宋" w:eastAsia="仿宋_GB2312" w:cs="仿宋"/>
          <w:b w:val="0"/>
          <w:spacing w:val="-4"/>
          <w:sz w:val="32"/>
          <w:szCs w:val="32"/>
        </w:rPr>
        <w:t>公共绿化土地面积1425亩，改善环境5987亩，完成率100%。</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（4）项目实施的可持续影响分析。</w:t>
      </w:r>
      <w:r>
        <w:rPr>
          <w:rStyle w:val="9"/>
          <w:rFonts w:hint="eastAsia" w:ascii="仿宋_GB2312" w:hAnsi="仿宋" w:eastAsia="仿宋_GB2312" w:cs="仿宋"/>
          <w:b w:val="0"/>
          <w:spacing w:val="-4"/>
          <w:sz w:val="32"/>
          <w:szCs w:val="32"/>
        </w:rPr>
        <w:t>房建使用年限70年，基础设施使用年限100年，完成率100%</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rPr>
        <w:t xml:space="preserve"> 2. 满意度指标完成情况分析。 按计划完成项目实施，通过满意度调查，</w:t>
      </w:r>
      <w:r>
        <w:rPr>
          <w:rStyle w:val="9"/>
          <w:rFonts w:hint="eastAsia" w:ascii="仿宋_GB2312" w:hAnsi="仿宋" w:eastAsia="仿宋_GB2312" w:cs="仿宋"/>
          <w:b w:val="0"/>
          <w:spacing w:val="-4"/>
          <w:sz w:val="32"/>
          <w:szCs w:val="32"/>
        </w:rPr>
        <w:t>受益群众满意度98%，完成率100%，</w:t>
      </w:r>
      <w:r>
        <w:rPr>
          <w:rFonts w:hint="eastAsia" w:ascii="仿宋_GB2312" w:hAnsi="仿宋_GB2312" w:eastAsia="仿宋_GB2312" w:cs="仿宋_GB2312"/>
          <w:sz w:val="32"/>
          <w:szCs w:val="32"/>
        </w:rPr>
        <w:t>服务对象满意度指标完成。发现的问题及原因：不存在问题。下一步改进措施： 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sz w:val="32"/>
          <w:szCs w:val="32"/>
        </w:rPr>
        <w:t>因公出国（境）费</w:t>
      </w:r>
      <w:r>
        <w:rPr>
          <w:rFonts w:hint="eastAsia" w:ascii="仿宋_GB2312" w:eastAsia="仿宋_GB2312" w:cs="仿宋_GB2312"/>
          <w:sz w:val="32"/>
          <w:szCs w:val="32"/>
        </w:rPr>
        <w:t>、公务用车购置及运行费和公务接待费。其中，</w:t>
      </w:r>
      <w:r>
        <w:rPr>
          <w:rFonts w:hint="eastAsia" w:ascii="仿宋_GB2312" w:eastAsia="仿宋_GB2312"/>
          <w:sz w:val="32"/>
          <w:szCs w:val="32"/>
        </w:rPr>
        <w:t>因公出国（境）费</w:t>
      </w:r>
      <w:r>
        <w:rPr>
          <w:rFonts w:hint="eastAsia" w:ascii="仿宋_GB2312" w:eastAsia="仿宋_GB2312" w:cs="仿宋_GB2312"/>
          <w:sz w:val="32"/>
          <w:szCs w:val="32"/>
        </w:rPr>
        <w:t>反映单位公务</w:t>
      </w:r>
      <w:r>
        <w:rPr>
          <w:rFonts w:hint="eastAsia" w:ascii="仿宋_GB2312" w:eastAsia="仿宋_GB2312"/>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w:t>
      </w:r>
      <w:bookmarkStart w:id="56" w:name="_GoBack"/>
      <w:bookmarkEnd w:id="56"/>
      <w:r>
        <w:rPr>
          <w:rFonts w:hint="eastAsia" w:ascii="仿宋_GB2312" w:eastAsia="仿宋_GB2312" w:cs="仿宋_GB2312"/>
          <w:sz w:val="32"/>
          <w:szCs w:val="32"/>
        </w:rPr>
        <w:t>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（项）指：其他保障性安居工程支出。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（项）指：其他扶贫支出。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03</w:t>
      </w:r>
      <w:r>
        <w:rPr>
          <w:rFonts w:hint="eastAsia" w:ascii="仿宋_GB2312" w:eastAsia="仿宋_GB2312" w:cs="仿宋_GB2312"/>
          <w:sz w:val="32"/>
          <w:szCs w:val="32"/>
        </w:rPr>
        <w:t>（项）指：棚户区改造。</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（项）指：水体。</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42</w:t>
      </w:r>
      <w:r>
        <w:rPr>
          <w:rFonts w:hint="eastAsia" w:ascii="仿宋_GB2312" w:eastAsia="仿宋_GB2312" w:cs="仿宋_GB2312"/>
          <w:sz w:val="32"/>
          <w:szCs w:val="32"/>
        </w:rPr>
        <w:t>（项）指：农村道路建设。</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（项）指：公共租赁住房。</w:t>
      </w:r>
      <w:r>
        <w:rPr>
          <w:rFonts w:ascii="仿宋_GB2312" w:eastAsia="仿宋_GB2312" w:cs="仿宋_GB2312"/>
          <w:sz w:val="32"/>
          <w:szCs w:val="32"/>
        </w:rPr>
        <w:t>204</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（项）指：其他公安支出。</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（项）指：保障性住房租金补贴。</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（项）指：其他环境管理事务支出。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（项）指：征地和拆迁补偿支出。</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（项）指：城乡社区环境卫生。</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08</w:t>
      </w:r>
      <w:r>
        <w:rPr>
          <w:rFonts w:hint="eastAsia" w:ascii="仿宋_GB2312" w:eastAsia="仿宋_GB2312" w:cs="仿宋_GB2312"/>
          <w:sz w:val="32"/>
          <w:szCs w:val="32"/>
        </w:rPr>
        <w:t>（款）</w:t>
      </w:r>
      <w:r>
        <w:rPr>
          <w:rFonts w:ascii="仿宋_GB2312" w:eastAsia="仿宋_GB2312" w:cs="仿宋_GB2312"/>
          <w:sz w:val="32"/>
          <w:szCs w:val="32"/>
        </w:rPr>
        <w:t>11</w:t>
      </w:r>
      <w:r>
        <w:rPr>
          <w:rFonts w:hint="eastAsia" w:ascii="仿宋_GB2312" w:eastAsia="仿宋_GB2312" w:cs="仿宋_GB2312"/>
          <w:sz w:val="32"/>
          <w:szCs w:val="32"/>
        </w:rPr>
        <w:t>（项）指：公共租赁住房支出。</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（项）指：其他城乡社区管理事务支出。</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（项）指：城乡社区规划与管理。</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（项）指：其他城乡社区公共设施支出。</w:t>
      </w:r>
      <w:r>
        <w:rPr>
          <w:rFonts w:ascii="仿宋_GB2312" w:eastAsia="仿宋_GB2312" w:cs="仿宋_GB2312"/>
          <w:sz w:val="32"/>
          <w:szCs w:val="32"/>
        </w:rPr>
        <w:t>212</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（项）指：城市公共设施。</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- 5 -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4FAF"/>
    <w:rsid w:val="0002118A"/>
    <w:rsid w:val="00021887"/>
    <w:rsid w:val="00022242"/>
    <w:rsid w:val="00035DD4"/>
    <w:rsid w:val="00040E57"/>
    <w:rsid w:val="00044097"/>
    <w:rsid w:val="00050E1F"/>
    <w:rsid w:val="00054305"/>
    <w:rsid w:val="0006007A"/>
    <w:rsid w:val="00060E28"/>
    <w:rsid w:val="000635BD"/>
    <w:rsid w:val="00065838"/>
    <w:rsid w:val="00080DEB"/>
    <w:rsid w:val="00083BBE"/>
    <w:rsid w:val="00083EBE"/>
    <w:rsid w:val="00091B9F"/>
    <w:rsid w:val="000A2589"/>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08E3"/>
    <w:rsid w:val="00123283"/>
    <w:rsid w:val="00124713"/>
    <w:rsid w:val="00124A31"/>
    <w:rsid w:val="00124B40"/>
    <w:rsid w:val="00133488"/>
    <w:rsid w:val="00133516"/>
    <w:rsid w:val="00137B91"/>
    <w:rsid w:val="0014076A"/>
    <w:rsid w:val="00142400"/>
    <w:rsid w:val="00150BEF"/>
    <w:rsid w:val="00151A95"/>
    <w:rsid w:val="00157F86"/>
    <w:rsid w:val="00164EBC"/>
    <w:rsid w:val="001669CC"/>
    <w:rsid w:val="00166DAB"/>
    <w:rsid w:val="00166E4B"/>
    <w:rsid w:val="00167DB8"/>
    <w:rsid w:val="00170C1A"/>
    <w:rsid w:val="00171B68"/>
    <w:rsid w:val="00173DD7"/>
    <w:rsid w:val="001748C2"/>
    <w:rsid w:val="00177527"/>
    <w:rsid w:val="00184AA3"/>
    <w:rsid w:val="00194099"/>
    <w:rsid w:val="001951FF"/>
    <w:rsid w:val="001A10E6"/>
    <w:rsid w:val="001A135B"/>
    <w:rsid w:val="001A1FDB"/>
    <w:rsid w:val="001A2A1A"/>
    <w:rsid w:val="001B3A06"/>
    <w:rsid w:val="001B5DF3"/>
    <w:rsid w:val="001C26F2"/>
    <w:rsid w:val="001C38EB"/>
    <w:rsid w:val="001C79E0"/>
    <w:rsid w:val="001D39E7"/>
    <w:rsid w:val="001D640A"/>
    <w:rsid w:val="001D65CB"/>
    <w:rsid w:val="001E025F"/>
    <w:rsid w:val="001E197A"/>
    <w:rsid w:val="001E2962"/>
    <w:rsid w:val="001E7D0A"/>
    <w:rsid w:val="001F0E21"/>
    <w:rsid w:val="001F2FE9"/>
    <w:rsid w:val="001F3267"/>
    <w:rsid w:val="001F6948"/>
    <w:rsid w:val="0020033F"/>
    <w:rsid w:val="00200C57"/>
    <w:rsid w:val="00207AD5"/>
    <w:rsid w:val="0021204D"/>
    <w:rsid w:val="002127E3"/>
    <w:rsid w:val="002146E7"/>
    <w:rsid w:val="00215693"/>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3FD8"/>
    <w:rsid w:val="002A7E48"/>
    <w:rsid w:val="002B1DA2"/>
    <w:rsid w:val="002B557B"/>
    <w:rsid w:val="002B5BC8"/>
    <w:rsid w:val="002B5D8E"/>
    <w:rsid w:val="002B7AF1"/>
    <w:rsid w:val="002C0FB9"/>
    <w:rsid w:val="002C4530"/>
    <w:rsid w:val="002C7663"/>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6B14"/>
    <w:rsid w:val="00317644"/>
    <w:rsid w:val="00317B91"/>
    <w:rsid w:val="00320F9D"/>
    <w:rsid w:val="003217D2"/>
    <w:rsid w:val="003228EE"/>
    <w:rsid w:val="0032647C"/>
    <w:rsid w:val="00326734"/>
    <w:rsid w:val="0033566D"/>
    <w:rsid w:val="003441F7"/>
    <w:rsid w:val="0034430C"/>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45"/>
    <w:rsid w:val="003C5A61"/>
    <w:rsid w:val="003D124B"/>
    <w:rsid w:val="003D161B"/>
    <w:rsid w:val="003D3AA4"/>
    <w:rsid w:val="003E28E6"/>
    <w:rsid w:val="003E4A05"/>
    <w:rsid w:val="003E5F5C"/>
    <w:rsid w:val="003E7D9E"/>
    <w:rsid w:val="003F37E0"/>
    <w:rsid w:val="003F6000"/>
    <w:rsid w:val="00401A23"/>
    <w:rsid w:val="00401CA2"/>
    <w:rsid w:val="00405E6D"/>
    <w:rsid w:val="00411C55"/>
    <w:rsid w:val="00415648"/>
    <w:rsid w:val="00415BCE"/>
    <w:rsid w:val="0041778B"/>
    <w:rsid w:val="0042015D"/>
    <w:rsid w:val="0042215C"/>
    <w:rsid w:val="00422A81"/>
    <w:rsid w:val="00425950"/>
    <w:rsid w:val="00430B78"/>
    <w:rsid w:val="00441209"/>
    <w:rsid w:val="00443568"/>
    <w:rsid w:val="00444981"/>
    <w:rsid w:val="0045026B"/>
    <w:rsid w:val="004558AB"/>
    <w:rsid w:val="00457729"/>
    <w:rsid w:val="004609AF"/>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0A0A"/>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25AB8"/>
    <w:rsid w:val="00532585"/>
    <w:rsid w:val="00533FA0"/>
    <w:rsid w:val="0054006F"/>
    <w:rsid w:val="00540C10"/>
    <w:rsid w:val="005464FA"/>
    <w:rsid w:val="00560650"/>
    <w:rsid w:val="00560DDB"/>
    <w:rsid w:val="00567067"/>
    <w:rsid w:val="00567FB5"/>
    <w:rsid w:val="005770C3"/>
    <w:rsid w:val="00577753"/>
    <w:rsid w:val="00580CCC"/>
    <w:rsid w:val="00581AD2"/>
    <w:rsid w:val="005857A0"/>
    <w:rsid w:val="00592D42"/>
    <w:rsid w:val="005A5B02"/>
    <w:rsid w:val="005B3245"/>
    <w:rsid w:val="005B6754"/>
    <w:rsid w:val="005B75C0"/>
    <w:rsid w:val="005C3143"/>
    <w:rsid w:val="005D311B"/>
    <w:rsid w:val="005D61D8"/>
    <w:rsid w:val="005D652A"/>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2505"/>
    <w:rsid w:val="0063431E"/>
    <w:rsid w:val="00645C30"/>
    <w:rsid w:val="0065497B"/>
    <w:rsid w:val="00654E41"/>
    <w:rsid w:val="006629C5"/>
    <w:rsid w:val="0067149A"/>
    <w:rsid w:val="0069278A"/>
    <w:rsid w:val="006A1C84"/>
    <w:rsid w:val="006A745B"/>
    <w:rsid w:val="006A78F4"/>
    <w:rsid w:val="006B0F85"/>
    <w:rsid w:val="006B4B06"/>
    <w:rsid w:val="006B4D0D"/>
    <w:rsid w:val="006B60E5"/>
    <w:rsid w:val="006B636C"/>
    <w:rsid w:val="006B713C"/>
    <w:rsid w:val="006C1DED"/>
    <w:rsid w:val="006C3692"/>
    <w:rsid w:val="006D0B78"/>
    <w:rsid w:val="006D45B7"/>
    <w:rsid w:val="006D62B0"/>
    <w:rsid w:val="006D7F25"/>
    <w:rsid w:val="006F14EB"/>
    <w:rsid w:val="006F5BD8"/>
    <w:rsid w:val="00700C94"/>
    <w:rsid w:val="007015B6"/>
    <w:rsid w:val="00701EC2"/>
    <w:rsid w:val="007021BE"/>
    <w:rsid w:val="00706C32"/>
    <w:rsid w:val="00706FF0"/>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600F"/>
    <w:rsid w:val="00795099"/>
    <w:rsid w:val="00796088"/>
    <w:rsid w:val="007A2C71"/>
    <w:rsid w:val="007A2FBD"/>
    <w:rsid w:val="007A6743"/>
    <w:rsid w:val="007A7600"/>
    <w:rsid w:val="007B1E23"/>
    <w:rsid w:val="007B2E9D"/>
    <w:rsid w:val="007B4447"/>
    <w:rsid w:val="007C0F24"/>
    <w:rsid w:val="007C1415"/>
    <w:rsid w:val="007C2670"/>
    <w:rsid w:val="007C2E4F"/>
    <w:rsid w:val="007C3325"/>
    <w:rsid w:val="007C5E7D"/>
    <w:rsid w:val="007C7E2E"/>
    <w:rsid w:val="007D2127"/>
    <w:rsid w:val="007E3095"/>
    <w:rsid w:val="007F27ED"/>
    <w:rsid w:val="008043B9"/>
    <w:rsid w:val="0080628E"/>
    <w:rsid w:val="00807ACF"/>
    <w:rsid w:val="00821E76"/>
    <w:rsid w:val="008259BC"/>
    <w:rsid w:val="0083105A"/>
    <w:rsid w:val="00837040"/>
    <w:rsid w:val="00840C20"/>
    <w:rsid w:val="008427AB"/>
    <w:rsid w:val="00847DCE"/>
    <w:rsid w:val="0085023C"/>
    <w:rsid w:val="00851BBF"/>
    <w:rsid w:val="00853966"/>
    <w:rsid w:val="00857827"/>
    <w:rsid w:val="00865062"/>
    <w:rsid w:val="00866A6C"/>
    <w:rsid w:val="00884177"/>
    <w:rsid w:val="008969FE"/>
    <w:rsid w:val="008A237C"/>
    <w:rsid w:val="008A2D2C"/>
    <w:rsid w:val="008A3633"/>
    <w:rsid w:val="008B2514"/>
    <w:rsid w:val="008B4607"/>
    <w:rsid w:val="008C030F"/>
    <w:rsid w:val="008C3836"/>
    <w:rsid w:val="008E28BD"/>
    <w:rsid w:val="008E4071"/>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17B6"/>
    <w:rsid w:val="00940134"/>
    <w:rsid w:val="00943A3E"/>
    <w:rsid w:val="00944CCC"/>
    <w:rsid w:val="00945E7F"/>
    <w:rsid w:val="00947403"/>
    <w:rsid w:val="0095057C"/>
    <w:rsid w:val="009543BA"/>
    <w:rsid w:val="00954FB4"/>
    <w:rsid w:val="00960925"/>
    <w:rsid w:val="00970AB3"/>
    <w:rsid w:val="00982C13"/>
    <w:rsid w:val="00985DF4"/>
    <w:rsid w:val="00987E45"/>
    <w:rsid w:val="00990D6B"/>
    <w:rsid w:val="0099241E"/>
    <w:rsid w:val="009942F3"/>
    <w:rsid w:val="00994950"/>
    <w:rsid w:val="0099652B"/>
    <w:rsid w:val="009A0831"/>
    <w:rsid w:val="009A44FB"/>
    <w:rsid w:val="009A5CDE"/>
    <w:rsid w:val="009B3F92"/>
    <w:rsid w:val="009C3CE9"/>
    <w:rsid w:val="009C6A82"/>
    <w:rsid w:val="009D15D2"/>
    <w:rsid w:val="009D592F"/>
    <w:rsid w:val="009D641F"/>
    <w:rsid w:val="009E48B9"/>
    <w:rsid w:val="009E49B5"/>
    <w:rsid w:val="009E711C"/>
    <w:rsid w:val="009F06B8"/>
    <w:rsid w:val="00A0017F"/>
    <w:rsid w:val="00A037A6"/>
    <w:rsid w:val="00A11A5F"/>
    <w:rsid w:val="00A11F40"/>
    <w:rsid w:val="00A13D3F"/>
    <w:rsid w:val="00A273DB"/>
    <w:rsid w:val="00A3080D"/>
    <w:rsid w:val="00A30EB7"/>
    <w:rsid w:val="00A31D7F"/>
    <w:rsid w:val="00A338C6"/>
    <w:rsid w:val="00A36FA6"/>
    <w:rsid w:val="00A408E3"/>
    <w:rsid w:val="00A425CE"/>
    <w:rsid w:val="00A44660"/>
    <w:rsid w:val="00A55F77"/>
    <w:rsid w:val="00A72457"/>
    <w:rsid w:val="00A86966"/>
    <w:rsid w:val="00A872D8"/>
    <w:rsid w:val="00A912CC"/>
    <w:rsid w:val="00A970D1"/>
    <w:rsid w:val="00AA57AE"/>
    <w:rsid w:val="00AB0869"/>
    <w:rsid w:val="00AB0AFB"/>
    <w:rsid w:val="00AB57D1"/>
    <w:rsid w:val="00AC002C"/>
    <w:rsid w:val="00AC1DD9"/>
    <w:rsid w:val="00AC4218"/>
    <w:rsid w:val="00AD3489"/>
    <w:rsid w:val="00AD3E2D"/>
    <w:rsid w:val="00AD51DD"/>
    <w:rsid w:val="00AE0EDA"/>
    <w:rsid w:val="00AE5C1B"/>
    <w:rsid w:val="00AE79D8"/>
    <w:rsid w:val="00AE7BAC"/>
    <w:rsid w:val="00AF09FB"/>
    <w:rsid w:val="00B00C16"/>
    <w:rsid w:val="00B03B3E"/>
    <w:rsid w:val="00B046A4"/>
    <w:rsid w:val="00B06382"/>
    <w:rsid w:val="00B0733F"/>
    <w:rsid w:val="00B10701"/>
    <w:rsid w:val="00B146E7"/>
    <w:rsid w:val="00B1684B"/>
    <w:rsid w:val="00B17C35"/>
    <w:rsid w:val="00B30B86"/>
    <w:rsid w:val="00B32A4F"/>
    <w:rsid w:val="00B358E2"/>
    <w:rsid w:val="00B40CB6"/>
    <w:rsid w:val="00B50AD6"/>
    <w:rsid w:val="00B51AB3"/>
    <w:rsid w:val="00B5337C"/>
    <w:rsid w:val="00B5340F"/>
    <w:rsid w:val="00B611F7"/>
    <w:rsid w:val="00B6765D"/>
    <w:rsid w:val="00B717C5"/>
    <w:rsid w:val="00B75463"/>
    <w:rsid w:val="00B90B21"/>
    <w:rsid w:val="00B90F21"/>
    <w:rsid w:val="00B93445"/>
    <w:rsid w:val="00B94F7E"/>
    <w:rsid w:val="00B95F83"/>
    <w:rsid w:val="00B965C5"/>
    <w:rsid w:val="00B96E34"/>
    <w:rsid w:val="00B9729A"/>
    <w:rsid w:val="00BB0177"/>
    <w:rsid w:val="00BB3A31"/>
    <w:rsid w:val="00BB58F7"/>
    <w:rsid w:val="00BC2D65"/>
    <w:rsid w:val="00BD1F2C"/>
    <w:rsid w:val="00BD2BBE"/>
    <w:rsid w:val="00BD7EF8"/>
    <w:rsid w:val="00BE0FEE"/>
    <w:rsid w:val="00BE4817"/>
    <w:rsid w:val="00BE721C"/>
    <w:rsid w:val="00BF0DC7"/>
    <w:rsid w:val="00BF1F54"/>
    <w:rsid w:val="00C04782"/>
    <w:rsid w:val="00C04F2D"/>
    <w:rsid w:val="00C21149"/>
    <w:rsid w:val="00C238F0"/>
    <w:rsid w:val="00C25CC6"/>
    <w:rsid w:val="00C31297"/>
    <w:rsid w:val="00C55534"/>
    <w:rsid w:val="00C61A9B"/>
    <w:rsid w:val="00C7194C"/>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1763"/>
    <w:rsid w:val="00D92C82"/>
    <w:rsid w:val="00DA1E10"/>
    <w:rsid w:val="00DA463D"/>
    <w:rsid w:val="00DA5B64"/>
    <w:rsid w:val="00DB2B00"/>
    <w:rsid w:val="00DB45E7"/>
    <w:rsid w:val="00DC19E1"/>
    <w:rsid w:val="00DC25CF"/>
    <w:rsid w:val="00DC65F7"/>
    <w:rsid w:val="00DD064A"/>
    <w:rsid w:val="00DE3644"/>
    <w:rsid w:val="00DF2401"/>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B3900"/>
    <w:rsid w:val="00EB5FF5"/>
    <w:rsid w:val="00EC5A7D"/>
    <w:rsid w:val="00EC7099"/>
    <w:rsid w:val="00ED2D7B"/>
    <w:rsid w:val="00ED5E90"/>
    <w:rsid w:val="00ED60E2"/>
    <w:rsid w:val="00ED6F2D"/>
    <w:rsid w:val="00EE0A13"/>
    <w:rsid w:val="00EE2897"/>
    <w:rsid w:val="00EF31D5"/>
    <w:rsid w:val="00EF7FDA"/>
    <w:rsid w:val="00F01612"/>
    <w:rsid w:val="00F04B17"/>
    <w:rsid w:val="00F113F4"/>
    <w:rsid w:val="00F13479"/>
    <w:rsid w:val="00F14CE8"/>
    <w:rsid w:val="00F1625A"/>
    <w:rsid w:val="00F17C93"/>
    <w:rsid w:val="00F416BB"/>
    <w:rsid w:val="00F50BA2"/>
    <w:rsid w:val="00F5664D"/>
    <w:rsid w:val="00F6771B"/>
    <w:rsid w:val="00F703C3"/>
    <w:rsid w:val="00F80799"/>
    <w:rsid w:val="00F81776"/>
    <w:rsid w:val="00F835AD"/>
    <w:rsid w:val="00F844FD"/>
    <w:rsid w:val="00F869A3"/>
    <w:rsid w:val="00F86FB3"/>
    <w:rsid w:val="00F923EA"/>
    <w:rsid w:val="00F97BF1"/>
    <w:rsid w:val="00FA29D8"/>
    <w:rsid w:val="00FA2D39"/>
    <w:rsid w:val="00FA49B7"/>
    <w:rsid w:val="00FA5F5D"/>
    <w:rsid w:val="00FB0BA6"/>
    <w:rsid w:val="00FC29A0"/>
    <w:rsid w:val="00FC6C17"/>
    <w:rsid w:val="00FE3C22"/>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1B6460"/>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E0759C"/>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52F54EF"/>
    <w:rsid w:val="765F635A"/>
    <w:rsid w:val="76B73454"/>
    <w:rsid w:val="76D254BD"/>
    <w:rsid w:val="77727ACD"/>
    <w:rsid w:val="78071142"/>
    <w:rsid w:val="79296B37"/>
    <w:rsid w:val="7A4C4C40"/>
    <w:rsid w:val="7AA0518E"/>
    <w:rsid w:val="7B041636"/>
    <w:rsid w:val="7CA86749"/>
    <w:rsid w:val="7DCD4673"/>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uiPriority w:val="99"/>
    <w:rPr>
      <w:b/>
      <w:bCs/>
    </w:rPr>
  </w:style>
  <w:style w:type="character" w:styleId="9">
    <w:name w:val="Strong"/>
    <w:qFormat/>
    <w:locked/>
    <w:uiPriority w:val="0"/>
    <w:rPr>
      <w:b/>
      <w:bCs/>
    </w:rPr>
  </w:style>
  <w:style w:type="character" w:styleId="10">
    <w:name w:val="page number"/>
    <w:basedOn w:val="8"/>
    <w:uiPriority w:val="99"/>
  </w:style>
  <w:style w:type="character" w:styleId="11">
    <w:name w:val="annotation reference"/>
    <w:semiHidden/>
    <w:uiPriority w:val="99"/>
    <w:rPr>
      <w:sz w:val="21"/>
      <w:szCs w:val="21"/>
    </w:rPr>
  </w:style>
  <w:style w:type="character" w:customStyle="1" w:styleId="12">
    <w:name w:val="批注文字 Char"/>
    <w:link w:val="2"/>
    <w:semiHidden/>
    <w:locked/>
    <w:uiPriority w:val="99"/>
    <w:rPr>
      <w:rFonts w:ascii="Times New Roman" w:hAnsi="Times New Roman" w:eastAsia="宋体" w:cs="Times New Roman"/>
      <w:sz w:val="24"/>
      <w:szCs w:val="24"/>
    </w:rPr>
  </w:style>
  <w:style w:type="character" w:customStyle="1" w:styleId="13">
    <w:name w:val="批注框文本 Char"/>
    <w:link w:val="3"/>
    <w:semiHidden/>
    <w:locked/>
    <w:uiPriority w:val="99"/>
    <w:rPr>
      <w:rFonts w:ascii="Times New Roman" w:hAnsi="Times New Roman" w:eastAsia="宋体" w:cs="Times New Roman"/>
      <w:sz w:val="18"/>
      <w:szCs w:val="18"/>
    </w:rPr>
  </w:style>
  <w:style w:type="character" w:customStyle="1" w:styleId="14">
    <w:name w:val="页脚 Char"/>
    <w:link w:val="4"/>
    <w:locked/>
    <w:uiPriority w:val="99"/>
    <w:rPr>
      <w:rFonts w:ascii="Times New Roman" w:hAnsi="Times New Roman" w:eastAsia="黑体" w:cs="Times New Roman"/>
      <w:snapToGrid w:val="0"/>
      <w:kern w:val="0"/>
      <w:sz w:val="18"/>
      <w:szCs w:val="18"/>
    </w:rPr>
  </w:style>
  <w:style w:type="character" w:customStyle="1" w:styleId="15">
    <w:name w:val="页眉 Char"/>
    <w:link w:val="5"/>
    <w:qFormat/>
    <w:locked/>
    <w:uiPriority w:val="99"/>
    <w:rPr>
      <w:rFonts w:ascii="Times New Roman" w:hAnsi="Times New Roman" w:eastAsia="宋体" w:cs="Times New Roman"/>
      <w:sz w:val="18"/>
      <w:szCs w:val="18"/>
    </w:rPr>
  </w:style>
  <w:style w:type="character" w:customStyle="1" w:styleId="16">
    <w:name w:val="批注主题 Char"/>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21</Pages>
  <Words>1817</Words>
  <Characters>10361</Characters>
  <Lines>86</Lines>
  <Paragraphs>24</Paragraphs>
  <TotalTime>0</TotalTime>
  <ScaleCrop>false</ScaleCrop>
  <LinksUpToDate>false</LinksUpToDate>
  <CharactersWithSpaces>12154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2025-02-12T05:22:46Z</dcterms:modified>
  <cp:revision>852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