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tabs>
          <w:tab w:val="left" w:pos="1680"/>
        </w:tabs>
        <w:kinsoku/>
        <w:wordWrap/>
        <w:overflowPunct/>
        <w:topLinePunct w:val="0"/>
        <w:autoSpaceDE/>
        <w:autoSpaceDN/>
        <w:bidi w:val="0"/>
        <w:spacing w:before="120" w:after="120" w:line="600" w:lineRule="exact"/>
        <w:ind w:firstLine="643"/>
        <w:jc w:val="center"/>
        <w:textAlignment w:val="auto"/>
        <w:outlineLvl w:val="0"/>
        <w:rPr>
          <w:rFonts w:hint="eastAsia" w:ascii="方正仿宋_GB2312" w:hAnsi="方正仿宋_GB2312" w:eastAsia="方正仿宋_GB2312" w:cs="方正仿宋_GB2312"/>
          <w:b/>
          <w:bCs/>
          <w:color w:val="000000"/>
          <w:sz w:val="36"/>
          <w:szCs w:val="36"/>
          <w:lang w:eastAsia="zh-CN"/>
        </w:rPr>
      </w:pPr>
    </w:p>
    <w:p>
      <w:pPr>
        <w:pageBreakBefore w:val="0"/>
        <w:widowControl w:val="0"/>
        <w:tabs>
          <w:tab w:val="left" w:pos="1680"/>
        </w:tabs>
        <w:kinsoku/>
        <w:wordWrap/>
        <w:overflowPunct/>
        <w:topLinePunct w:val="0"/>
        <w:autoSpaceDE/>
        <w:autoSpaceDN/>
        <w:bidi w:val="0"/>
        <w:spacing w:before="120" w:after="120" w:line="600" w:lineRule="exact"/>
        <w:jc w:val="both"/>
        <w:textAlignment w:val="auto"/>
        <w:outlineLvl w:val="0"/>
        <w:rPr>
          <w:rFonts w:hint="eastAsia" w:ascii="方正小标宋_GBK" w:hAnsi="方正小标宋_GBK" w:eastAsia="方正小标宋_GBK" w:cs="方正小标宋_GBK"/>
          <w:b w:val="0"/>
          <w:bCs w:val="0"/>
          <w:color w:val="000000"/>
          <w:sz w:val="44"/>
          <w:szCs w:val="44"/>
          <w:lang w:eastAsia="zh-CN"/>
        </w:rPr>
      </w:pPr>
      <w:r>
        <w:rPr>
          <w:rFonts w:hint="eastAsia" w:ascii="方正小标宋_GBK" w:hAnsi="方正小标宋_GBK" w:eastAsia="方正小标宋_GBK" w:cs="方正小标宋_GBK"/>
          <w:b w:val="0"/>
          <w:bCs w:val="0"/>
          <w:color w:val="000000"/>
          <w:sz w:val="44"/>
          <w:szCs w:val="44"/>
          <w:lang w:eastAsia="zh-CN"/>
        </w:rPr>
        <w:t>叶城县项目管理费项目支出自评总结报告</w:t>
      </w:r>
    </w:p>
    <w:p>
      <w:pPr>
        <w:pageBreakBefore w:val="0"/>
        <w:widowControl w:val="0"/>
        <w:kinsoku/>
        <w:wordWrap/>
        <w:overflowPunct/>
        <w:topLinePunct w:val="0"/>
        <w:autoSpaceDE/>
        <w:autoSpaceDN/>
        <w:bidi w:val="0"/>
        <w:spacing w:line="600" w:lineRule="exact"/>
        <w:ind w:firstLine="0" w:firstLineChars="0"/>
        <w:jc w:val="center"/>
        <w:textAlignment w:val="auto"/>
        <w:rPr>
          <w:rFonts w:hint="eastAsia" w:ascii="方正小标宋_GBK" w:hAnsi="方正小标宋_GBK" w:eastAsia="方正小标宋_GBK" w:cs="方正小标宋_GBK"/>
          <w:b w:val="0"/>
          <w:bCs w:val="0"/>
          <w:color w:val="auto"/>
          <w:kern w:val="0"/>
          <w:sz w:val="44"/>
          <w:szCs w:val="44"/>
          <w:highlight w:val="none"/>
          <w:lang w:bidi="en-US"/>
        </w:rPr>
      </w:pPr>
    </w:p>
    <w:p>
      <w:pPr>
        <w:pStyle w:val="6"/>
        <w:pageBreakBefore w:val="0"/>
        <w:widowControl w:val="0"/>
        <w:kinsoku/>
        <w:wordWrap/>
        <w:overflowPunct/>
        <w:topLinePunct w:val="0"/>
        <w:autoSpaceDE/>
        <w:autoSpaceDN/>
        <w:bidi w:val="0"/>
        <w:spacing w:line="600" w:lineRule="exact"/>
        <w:textAlignment w:val="auto"/>
        <w:rPr>
          <w:rFonts w:hint="eastAsia" w:ascii="方正小标宋_GBK" w:hAnsi="方正小标宋_GBK" w:eastAsia="方正小标宋_GBK" w:cs="方正小标宋_GBK"/>
          <w:b w:val="0"/>
          <w:bCs w:val="0"/>
          <w:color w:val="auto"/>
          <w:kern w:val="0"/>
          <w:sz w:val="44"/>
          <w:szCs w:val="44"/>
          <w:highlight w:val="none"/>
          <w:lang w:bidi="en-US"/>
        </w:rPr>
      </w:pPr>
    </w:p>
    <w:p>
      <w:pPr>
        <w:pageBreakBefore w:val="0"/>
        <w:widowControl w:val="0"/>
        <w:tabs>
          <w:tab w:val="left" w:pos="1680"/>
        </w:tabs>
        <w:kinsoku/>
        <w:wordWrap/>
        <w:overflowPunct/>
        <w:topLinePunct w:val="0"/>
        <w:autoSpaceDE/>
        <w:autoSpaceDN/>
        <w:bidi w:val="0"/>
        <w:spacing w:before="120" w:after="120" w:line="600" w:lineRule="exact"/>
        <w:ind w:firstLine="643"/>
        <w:jc w:val="center"/>
        <w:textAlignment w:val="auto"/>
        <w:outlineLvl w:val="0"/>
        <w:rPr>
          <w:rFonts w:hint="eastAsia" w:ascii="方正小标宋_GBK" w:hAnsi="方正小标宋_GBK" w:eastAsia="方正小标宋_GBK" w:cs="方正小标宋_GBK"/>
          <w:b w:val="0"/>
          <w:bCs w:val="0"/>
          <w:color w:val="auto"/>
          <w:sz w:val="44"/>
          <w:szCs w:val="44"/>
          <w:highlight w:val="none"/>
        </w:rPr>
      </w:pPr>
    </w:p>
    <w:p>
      <w:pPr>
        <w:pStyle w:val="3"/>
        <w:pageBreakBefore w:val="0"/>
        <w:widowControl w:val="0"/>
        <w:kinsoku/>
        <w:overflowPunct/>
        <w:topLinePunct w:val="0"/>
        <w:autoSpaceDN/>
        <w:bidi w:val="0"/>
        <w:spacing w:line="600" w:lineRule="exact"/>
        <w:textAlignment w:val="auto"/>
        <w:rPr>
          <w:rFonts w:hint="eastAsia" w:ascii="方正小标宋_GBK" w:hAnsi="方正小标宋_GBK" w:eastAsia="方正小标宋_GBK" w:cs="方正小标宋_GBK"/>
          <w:b w:val="0"/>
          <w:bCs w:val="0"/>
          <w:sz w:val="44"/>
          <w:szCs w:val="44"/>
          <w:lang w:eastAsia="zh-CN"/>
        </w:rPr>
      </w:pPr>
    </w:p>
    <w:p>
      <w:pPr>
        <w:pStyle w:val="3"/>
        <w:pageBreakBefore w:val="0"/>
        <w:widowControl w:val="0"/>
        <w:kinsoku/>
        <w:overflowPunct/>
        <w:topLinePunct w:val="0"/>
        <w:autoSpaceDN/>
        <w:bidi w:val="0"/>
        <w:spacing w:line="600" w:lineRule="exact"/>
        <w:textAlignment w:val="auto"/>
        <w:rPr>
          <w:rFonts w:hint="eastAsia" w:ascii="方正小标宋_GBK" w:hAnsi="方正小标宋_GBK" w:eastAsia="方正小标宋_GBK" w:cs="方正小标宋_GBK"/>
          <w:b w:val="0"/>
          <w:bCs w:val="0"/>
          <w:sz w:val="44"/>
          <w:szCs w:val="44"/>
          <w:lang w:eastAsia="zh-CN"/>
        </w:rPr>
      </w:pPr>
    </w:p>
    <w:p>
      <w:pPr>
        <w:pStyle w:val="3"/>
        <w:pageBreakBefore w:val="0"/>
        <w:widowControl w:val="0"/>
        <w:kinsoku/>
        <w:overflowPunct/>
        <w:topLinePunct w:val="0"/>
        <w:autoSpaceDN/>
        <w:bidi w:val="0"/>
        <w:spacing w:line="600" w:lineRule="exact"/>
        <w:textAlignment w:val="auto"/>
        <w:rPr>
          <w:rFonts w:hint="eastAsia" w:ascii="方正小标宋_GBK" w:hAnsi="方正小标宋_GBK" w:eastAsia="方正小标宋_GBK" w:cs="方正小标宋_GBK"/>
          <w:b w:val="0"/>
          <w:bCs w:val="0"/>
          <w:sz w:val="44"/>
          <w:szCs w:val="44"/>
          <w:lang w:eastAsia="zh-CN"/>
        </w:rPr>
      </w:pPr>
    </w:p>
    <w:p>
      <w:pPr>
        <w:pageBreakBefore w:val="0"/>
        <w:widowControl w:val="0"/>
        <w:kinsoku/>
        <w:wordWrap/>
        <w:overflowPunct/>
        <w:topLinePunct w:val="0"/>
        <w:autoSpaceDE/>
        <w:autoSpaceDN/>
        <w:bidi w:val="0"/>
        <w:spacing w:line="600" w:lineRule="exact"/>
        <w:textAlignment w:val="auto"/>
        <w:rPr>
          <w:rFonts w:hint="eastAsia" w:ascii="方正小标宋_GBK" w:hAnsi="方正小标宋_GBK" w:eastAsia="方正小标宋_GBK" w:cs="方正小标宋_GBK"/>
          <w:b w:val="0"/>
          <w:bCs w:val="0"/>
          <w:color w:val="auto"/>
          <w:sz w:val="44"/>
          <w:szCs w:val="44"/>
          <w:highlight w:val="none"/>
        </w:rPr>
      </w:pPr>
    </w:p>
    <w:p>
      <w:pPr>
        <w:pageBreakBefore w:val="0"/>
        <w:widowControl w:val="0"/>
        <w:kinsoku/>
        <w:wordWrap/>
        <w:overflowPunct/>
        <w:topLinePunct w:val="0"/>
        <w:autoSpaceDE/>
        <w:autoSpaceDN/>
        <w:bidi w:val="0"/>
        <w:spacing w:line="600" w:lineRule="exact"/>
        <w:ind w:firstLine="0" w:firstLineChars="0"/>
        <w:jc w:val="both"/>
        <w:textAlignment w:val="auto"/>
        <w:rPr>
          <w:rFonts w:hint="eastAsia" w:ascii="方正小标宋_GBK" w:hAnsi="方正小标宋_GBK" w:eastAsia="方正小标宋_GBK" w:cs="方正小标宋_GBK"/>
          <w:b w:val="0"/>
          <w:bCs w:val="0"/>
          <w:color w:val="auto"/>
          <w:kern w:val="0"/>
          <w:sz w:val="44"/>
          <w:szCs w:val="44"/>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600" w:lineRule="exact"/>
        <w:jc w:val="left"/>
        <w:textAlignment w:val="auto"/>
        <w:rPr>
          <w:rFonts w:hint="eastAsia" w:ascii="方正小标宋_GBK" w:hAnsi="方正小标宋_GBK" w:eastAsia="方正小标宋_GBK" w:cs="方正小标宋_GBK"/>
          <w:b w:val="0"/>
          <w:bCs w:val="0"/>
          <w:color w:val="000000"/>
          <w:kern w:val="2"/>
          <w:sz w:val="44"/>
          <w:szCs w:val="44"/>
          <w:lang w:val="en-US" w:eastAsia="zh-CN" w:bidi="ar-SA"/>
        </w:rPr>
      </w:pPr>
    </w:p>
    <w:p>
      <w:pPr>
        <w:pageBreakBefore w:val="0"/>
        <w:widowControl w:val="0"/>
        <w:kinsoku/>
        <w:overflowPunct/>
        <w:topLinePunct w:val="0"/>
        <w:autoSpaceDN/>
        <w:bidi w:val="0"/>
        <w:spacing w:line="600" w:lineRule="exact"/>
        <w:ind w:firstLine="1280" w:firstLineChars="400"/>
        <w:jc w:val="both"/>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项目名称：叶城县项目管理费项目</w:t>
      </w:r>
    </w:p>
    <w:p>
      <w:pPr>
        <w:pageBreakBefore w:val="0"/>
        <w:widowControl w:val="0"/>
        <w:kinsoku/>
        <w:overflowPunct/>
        <w:topLinePunct w:val="0"/>
        <w:autoSpaceDN/>
        <w:bidi w:val="0"/>
        <w:spacing w:line="600" w:lineRule="exact"/>
        <w:ind w:firstLine="1280" w:firstLineChars="400"/>
        <w:jc w:val="both"/>
        <w:textAlignment w:val="auto"/>
        <w:rPr>
          <w:rFonts w:hint="default"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实施单位：叶城县乡村振兴局</w:t>
      </w:r>
    </w:p>
    <w:p>
      <w:pPr>
        <w:pageBreakBefore w:val="0"/>
        <w:widowControl w:val="0"/>
        <w:kinsoku/>
        <w:overflowPunct/>
        <w:topLinePunct w:val="0"/>
        <w:autoSpaceDN/>
        <w:bidi w:val="0"/>
        <w:spacing w:line="600" w:lineRule="exact"/>
        <w:ind w:firstLine="1280" w:firstLineChars="400"/>
        <w:jc w:val="both"/>
        <w:textAlignment w:val="auto"/>
        <w:rPr>
          <w:rFonts w:hint="default"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主管部门：叶城县乡村振兴局</w:t>
      </w:r>
    </w:p>
    <w:p>
      <w:pPr>
        <w:pageBreakBefore w:val="0"/>
        <w:widowControl w:val="0"/>
        <w:kinsoku/>
        <w:overflowPunct/>
        <w:topLinePunct w:val="0"/>
        <w:autoSpaceDN/>
        <w:bidi w:val="0"/>
        <w:spacing w:line="600" w:lineRule="exact"/>
        <w:ind w:firstLine="1280" w:firstLineChars="400"/>
        <w:jc w:val="both"/>
        <w:textAlignment w:val="auto"/>
        <w:rPr>
          <w:rFonts w:hint="default"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项目负责人：唐俊</w:t>
      </w:r>
    </w:p>
    <w:p>
      <w:pPr>
        <w:pageBreakBefore w:val="0"/>
        <w:widowControl w:val="0"/>
        <w:kinsoku/>
        <w:overflowPunct/>
        <w:topLinePunct w:val="0"/>
        <w:autoSpaceDN/>
        <w:bidi w:val="0"/>
        <w:spacing w:line="600" w:lineRule="exact"/>
        <w:ind w:firstLine="1280" w:firstLineChars="400"/>
        <w:jc w:val="both"/>
        <w:textAlignment w:val="auto"/>
        <w:rPr>
          <w:rFonts w:hint="eastAsia" w:ascii="方正小标宋_GBK" w:hAnsi="方正小标宋_GBK" w:eastAsia="方正小标宋_GBK" w:cs="方正小标宋_GBK"/>
          <w:b w:val="0"/>
          <w:bCs w:val="0"/>
          <w:color w:val="000000"/>
          <w:kern w:val="2"/>
          <w:sz w:val="32"/>
          <w:szCs w:val="32"/>
          <w:lang w:val="en-US" w:eastAsia="zh-CN" w:bidi="ar-SA"/>
        </w:rPr>
      </w:pPr>
      <w:r>
        <w:rPr>
          <w:rFonts w:hint="eastAsia" w:ascii="方正小标宋_GBK" w:hAnsi="方正小标宋_GBK" w:eastAsia="方正小标宋_GBK" w:cs="方正小标宋_GBK"/>
          <w:b w:val="0"/>
          <w:bCs w:val="0"/>
          <w:color w:val="000000"/>
          <w:kern w:val="2"/>
          <w:sz w:val="32"/>
          <w:szCs w:val="32"/>
          <w:lang w:val="en-US" w:eastAsia="zh-CN" w:bidi="ar-SA"/>
        </w:rPr>
        <w:t>填报时间： 2024年1月</w:t>
      </w:r>
    </w:p>
    <w:p>
      <w:pPr>
        <w:pageBreakBefore w:val="0"/>
        <w:widowControl w:val="0"/>
        <w:kinsoku/>
        <w:overflowPunct/>
        <w:topLinePunct w:val="0"/>
        <w:autoSpaceDN/>
        <w:bidi w:val="0"/>
        <w:spacing w:line="600" w:lineRule="exact"/>
        <w:jc w:val="center"/>
        <w:textAlignment w:val="auto"/>
        <w:rPr>
          <w:rFonts w:hint="eastAsia" w:ascii="方正仿宋_GB2312" w:hAnsi="方正仿宋_GB2312" w:eastAsia="方正仿宋_GB2312" w:cs="方正仿宋_GB2312"/>
          <w:b w:val="0"/>
          <w:bCs w:val="0"/>
          <w:color w:val="000000"/>
          <w:sz w:val="32"/>
          <w:szCs w:val="32"/>
          <w:lang w:val="en-US" w:eastAsia="zh-CN"/>
        </w:rPr>
      </w:pPr>
    </w:p>
    <w:p>
      <w:pPr>
        <w:pageBreakBefore w:val="0"/>
        <w:widowControl w:val="0"/>
        <w:kinsoku/>
        <w:overflowPunct/>
        <w:topLinePunct w:val="0"/>
        <w:autoSpaceDN/>
        <w:bidi w:val="0"/>
        <w:spacing w:line="600" w:lineRule="exact"/>
        <w:jc w:val="center"/>
        <w:textAlignment w:val="auto"/>
        <w:rPr>
          <w:rFonts w:hint="eastAsia" w:ascii="方正仿宋_GB2312" w:hAnsi="方正仿宋_GB2312" w:eastAsia="方正仿宋_GB2312" w:cs="方正仿宋_GB2312"/>
          <w:b/>
          <w:bCs/>
          <w:color w:val="000000"/>
          <w:sz w:val="32"/>
          <w:szCs w:val="32"/>
          <w:lang w:val="en-US" w:eastAsia="zh-CN"/>
        </w:rPr>
      </w:pPr>
    </w:p>
    <w:p>
      <w:pPr>
        <w:pageBreakBefore w:val="0"/>
        <w:widowControl w:val="0"/>
        <w:kinsoku/>
        <w:overflowPunct/>
        <w:topLinePunct w:val="0"/>
        <w:autoSpaceDN/>
        <w:bidi w:val="0"/>
        <w:spacing w:line="600" w:lineRule="exact"/>
        <w:jc w:val="center"/>
        <w:textAlignment w:val="auto"/>
        <w:rPr>
          <w:rFonts w:hint="eastAsia" w:ascii="方正小标宋_GBK" w:hAnsi="方正小标宋_GBK" w:eastAsia="方正小标宋_GBK" w:cs="方正小标宋_GBK"/>
          <w:b w:val="0"/>
          <w:bCs w:val="0"/>
          <w:color w:val="000000"/>
          <w:sz w:val="44"/>
          <w:szCs w:val="44"/>
          <w:lang w:val="en-US" w:eastAsia="zh-CN"/>
        </w:rPr>
      </w:pPr>
    </w:p>
    <w:p>
      <w:pPr>
        <w:pageBreakBefore w:val="0"/>
        <w:widowControl w:val="0"/>
        <w:kinsoku/>
        <w:overflowPunct/>
        <w:topLinePunct w:val="0"/>
        <w:autoSpaceDN/>
        <w:bidi w:val="0"/>
        <w:spacing w:line="600" w:lineRule="exact"/>
        <w:jc w:val="center"/>
        <w:textAlignment w:val="auto"/>
        <w:rPr>
          <w:rFonts w:hint="eastAsia" w:ascii="方正小标宋_GBK" w:hAnsi="方正小标宋_GBK" w:eastAsia="方正小标宋_GBK" w:cs="方正小标宋_GBK"/>
          <w:b w:val="0"/>
          <w:bCs w:val="0"/>
          <w:color w:val="000000"/>
          <w:sz w:val="44"/>
          <w:szCs w:val="44"/>
          <w:lang w:val="en-US" w:eastAsia="zh-CN"/>
        </w:rPr>
      </w:pPr>
    </w:p>
    <w:p>
      <w:pPr>
        <w:pageBreakBefore w:val="0"/>
        <w:widowControl w:val="0"/>
        <w:kinsoku/>
        <w:overflowPunct/>
        <w:topLinePunct w:val="0"/>
        <w:autoSpaceDN/>
        <w:bidi w:val="0"/>
        <w:spacing w:line="600" w:lineRule="exact"/>
        <w:jc w:val="center"/>
        <w:textAlignment w:val="auto"/>
        <w:rPr>
          <w:rFonts w:hint="eastAsia" w:ascii="方正小标宋_GBK" w:hAnsi="方正小标宋_GBK" w:eastAsia="方正小标宋_GBK" w:cs="方正小标宋_GBK"/>
          <w:b w:val="0"/>
          <w:bCs w:val="0"/>
          <w:color w:val="000000"/>
          <w:sz w:val="44"/>
          <w:szCs w:val="44"/>
        </w:rPr>
      </w:pPr>
      <w:r>
        <w:rPr>
          <w:rFonts w:hint="eastAsia" w:ascii="方正小标宋_GBK" w:hAnsi="方正小标宋_GBK" w:eastAsia="方正小标宋_GBK" w:cs="方正小标宋_GBK"/>
          <w:b w:val="0"/>
          <w:bCs w:val="0"/>
          <w:color w:val="000000"/>
          <w:sz w:val="44"/>
          <w:szCs w:val="44"/>
          <w:lang w:val="en-US" w:eastAsia="zh-CN"/>
        </w:rPr>
        <w:t>叶城县项目管理费项目</w:t>
      </w:r>
      <w:r>
        <w:rPr>
          <w:rFonts w:hint="eastAsia" w:ascii="方正小标宋_GBK" w:hAnsi="方正小标宋_GBK" w:eastAsia="方正小标宋_GBK" w:cs="方正小标宋_GBK"/>
          <w:b w:val="0"/>
          <w:bCs w:val="0"/>
          <w:color w:val="000000"/>
          <w:sz w:val="44"/>
          <w:szCs w:val="44"/>
        </w:rPr>
        <w:t>绩效自评总结报告</w:t>
      </w:r>
    </w:p>
    <w:p>
      <w:pPr>
        <w:keepNext w:val="0"/>
        <w:keepLines w:val="0"/>
        <w:pageBreakBefore w:val="0"/>
        <w:widowControl w:val="0"/>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bCs w:val="0"/>
          <w:color w:val="000000"/>
          <w:sz w:val="32"/>
          <w:szCs w:val="32"/>
        </w:rPr>
      </w:pPr>
      <w:r>
        <w:rPr>
          <w:rFonts w:hint="eastAsia" w:ascii="方正公文黑体" w:hAnsi="方正公文黑体" w:eastAsia="方正公文黑体" w:cs="方正公文黑体"/>
          <w:b/>
          <w:bCs w:val="0"/>
          <w:color w:val="000000"/>
          <w:sz w:val="32"/>
          <w:szCs w:val="32"/>
        </w:rPr>
        <w:t>一、绩效目标分解下达情况</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1.</w:t>
      </w:r>
      <w:r>
        <w:rPr>
          <w:rFonts w:hint="eastAsia" w:ascii="方正楷体_GBK" w:hAnsi="方正楷体_GBK" w:eastAsia="方正楷体_GBK" w:cs="方正楷体_GBK"/>
          <w:b/>
          <w:bCs/>
          <w:color w:val="000000"/>
          <w:sz w:val="32"/>
          <w:szCs w:val="32"/>
          <w:lang w:eastAsia="zh-CN"/>
        </w:rPr>
        <w:t>财政衔接推进乡村振兴补助资金</w:t>
      </w:r>
      <w:r>
        <w:rPr>
          <w:rFonts w:hint="eastAsia" w:ascii="方正楷体_GBK" w:hAnsi="方正楷体_GBK" w:eastAsia="方正楷体_GBK" w:cs="方正楷体_GBK"/>
          <w:b/>
          <w:bCs/>
          <w:color w:val="000000"/>
          <w:sz w:val="32"/>
          <w:szCs w:val="32"/>
        </w:rPr>
        <w:t>下达预算及项目情况。</w:t>
      </w:r>
    </w:p>
    <w:p>
      <w:pPr>
        <w:pStyle w:val="1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根据《关于提前下达2023年中央财政衔接推进乡村振兴补助资金的通知》喀地财振【2022】4号，下达</w:t>
      </w:r>
      <w:r>
        <w:rPr>
          <w:rFonts w:hint="eastAsia" w:ascii="方正仿宋_GBK" w:hAnsi="方正仿宋_GBK" w:eastAsia="方正仿宋_GBK" w:cs="方正仿宋_GBK"/>
          <w:sz w:val="32"/>
          <w:szCs w:val="32"/>
          <w:lang w:val="en-US" w:eastAsia="zh-CN"/>
        </w:rPr>
        <w:t>叶城县 2023 年巩固拓展脱贫攻坚成果同乡村振兴有效衔接</w:t>
      </w:r>
      <w:r>
        <w:rPr>
          <w:rFonts w:hint="eastAsia" w:ascii="方正仿宋_GBK" w:hAnsi="方正仿宋_GBK" w:eastAsia="方正仿宋_GBK" w:cs="方正仿宋_GBK"/>
          <w:color w:val="000000"/>
          <w:kern w:val="2"/>
          <w:sz w:val="32"/>
          <w:szCs w:val="32"/>
          <w:lang w:val="en-US" w:eastAsia="zh-CN" w:bidi="ar-SA"/>
        </w:rPr>
        <w:t>资金，该项目计划资金150万元，主要用于巩固拓展脱贫攻坚成果同乡村振兴项目全过程管理产生的相关费用，为了提升项目管理的成效，将各种资源有效的进行配置，实现项目的既定目标。</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2.</w:t>
      </w:r>
      <w:r>
        <w:rPr>
          <w:rFonts w:hint="eastAsia" w:ascii="方正楷体_GBK" w:hAnsi="方正楷体_GBK" w:eastAsia="方正楷体_GBK" w:cs="方正楷体_GBK"/>
          <w:b/>
          <w:bCs/>
          <w:color w:val="000000"/>
          <w:sz w:val="32"/>
          <w:szCs w:val="32"/>
          <w:lang w:eastAsia="zh-CN"/>
        </w:rPr>
        <w:t>财政衔接推进乡村振兴补助资金</w:t>
      </w:r>
      <w:r>
        <w:rPr>
          <w:rFonts w:hint="eastAsia" w:ascii="方正楷体_GBK" w:hAnsi="方正楷体_GBK" w:eastAsia="方正楷体_GBK" w:cs="方正楷体_GBK"/>
          <w:b/>
          <w:bCs/>
          <w:color w:val="000000"/>
          <w:sz w:val="32"/>
          <w:szCs w:val="32"/>
        </w:rPr>
        <w:t>项目绩效目标设定情况。</w:t>
      </w:r>
    </w:p>
    <w:p>
      <w:pPr>
        <w:keepNext w:val="0"/>
        <w:keepLines w:val="0"/>
        <w:pageBreakBefore w:val="0"/>
        <w:widowControl w:val="0"/>
        <w:kinsoku/>
        <w:overflowPunct/>
        <w:topLinePunct w:val="0"/>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该项目计划资金150万元，主要用于巩固拓展脱贫攻坚成果同乡村振兴项目全过程管理产生的相关费用，为了提升项目管理的成效，将各种资源有效的进行配置，实现项目的既定目标。</w:t>
      </w:r>
    </w:p>
    <w:p>
      <w:pPr>
        <w:keepNext w:val="0"/>
        <w:keepLines w:val="0"/>
        <w:pageBreakBefore w:val="0"/>
        <w:widowControl w:val="0"/>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bCs w:val="0"/>
          <w:color w:val="000000"/>
          <w:sz w:val="32"/>
          <w:szCs w:val="32"/>
        </w:rPr>
      </w:pPr>
      <w:r>
        <w:rPr>
          <w:rFonts w:hint="eastAsia" w:ascii="方正公文黑体" w:hAnsi="方正公文黑体" w:eastAsia="方正公文黑体" w:cs="方正公文黑体"/>
          <w:b/>
          <w:bCs w:val="0"/>
          <w:color w:val="000000"/>
          <w:sz w:val="32"/>
          <w:szCs w:val="32"/>
        </w:rPr>
        <w:t>二、绩效自评工作开展情况</w:t>
      </w:r>
    </w:p>
    <w:p>
      <w:pPr>
        <w:keepNext w:val="0"/>
        <w:keepLines w:val="0"/>
        <w:pageBreakBefore w:val="0"/>
        <w:widowControl w:val="0"/>
        <w:kinsoku/>
        <w:overflowPunct/>
        <w:topLinePunct w:val="0"/>
        <w:autoSpaceDN/>
        <w:bidi w:val="0"/>
        <w:adjustRightInd/>
        <w:snapToGrid/>
        <w:spacing w:line="600" w:lineRule="exact"/>
        <w:ind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包括自评工作开展范围、对象、时间及方式等。</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1. 绩效评价范围</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2. 绩效评价对象</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3.绩效评价时间</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2024年1月1日-2024年1月31日</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4. 绩效评价方法</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5. 绩效评价标准</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0" w:name="_Toc31464"/>
      <w:bookmarkStart w:id="1" w:name="_Toc17882"/>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2" w:name="_Toc2318"/>
      <w:bookmarkStart w:id="3" w:name="_Toc5633"/>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17"/>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bookmarkStart w:id="4" w:name="_Toc16028"/>
      <w:bookmarkStart w:id="5" w:name="_Toc430"/>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bCs w:val="0"/>
          <w:color w:val="000000"/>
          <w:sz w:val="32"/>
          <w:szCs w:val="32"/>
        </w:rPr>
      </w:pPr>
      <w:r>
        <w:rPr>
          <w:rFonts w:hint="eastAsia" w:ascii="方正公文黑体" w:hAnsi="方正公文黑体" w:eastAsia="方正公文黑体" w:cs="方正公文黑体"/>
          <w:b/>
          <w:bCs w:val="0"/>
          <w:color w:val="000000"/>
          <w:sz w:val="32"/>
          <w:szCs w:val="32"/>
        </w:rPr>
        <w:t>三、绩效目标自评完成情况分析</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(一）资金投入情况分析。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1.项目资金到位情况分析。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项目下达资金150万元，为衔接资金，最终确定项目资金总数为150万元。</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2.项目资金执行情况分析。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截至2023年12月31日，实际支出120万元，预算执行率80%。</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3.项目资金管理情况分析。</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楷体_GBK" w:hAnsi="方正楷体_GBK" w:eastAsia="方正楷体_GBK" w:cs="方正楷体_GBK"/>
          <w:b/>
          <w:bCs/>
          <w:color w:val="000000"/>
          <w:sz w:val="32"/>
          <w:szCs w:val="32"/>
          <w:lang w:val="en-US" w:eastAsia="zh-CN"/>
        </w:rPr>
      </w:pPr>
      <w:r>
        <w:rPr>
          <w:rFonts w:hint="eastAsia" w:ascii="方正楷体_GBK" w:hAnsi="方正楷体_GBK" w:eastAsia="方正楷体_GBK" w:cs="方正楷体_GBK"/>
          <w:b/>
          <w:bCs/>
          <w:color w:val="000000"/>
          <w:sz w:val="32"/>
          <w:szCs w:val="32"/>
          <w:lang w:val="en-US" w:eastAsia="zh-CN"/>
        </w:rPr>
        <w:t>(二）绩效目标完成情况分析。</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b/>
          <w:bCs/>
          <w:color w:val="000000"/>
          <w:sz w:val="32"/>
          <w:szCs w:val="32"/>
        </w:rPr>
        <w:t>1.产出指标完成情况分析。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（1）对于“产出数量”</w:t>
      </w:r>
      <w:bookmarkStart w:id="6" w:name="_GoBack"/>
      <w:bookmarkEnd w:id="6"/>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
        </w:rPr>
      </w:pPr>
      <w:r>
        <w:rPr>
          <w:rFonts w:hint="eastAsia" w:ascii="方正仿宋_GBK" w:hAnsi="方正仿宋_GBK" w:eastAsia="方正仿宋_GBK" w:cs="方正仿宋_GBK"/>
          <w:color w:val="000000"/>
          <w:kern w:val="2"/>
          <w:sz w:val="32"/>
          <w:szCs w:val="32"/>
          <w:lang w:val="en-US" w:eastAsia="zh-CN" w:bidi="ar-SA"/>
        </w:rPr>
        <w:t>第三方机构数量1个，与预期目标一致，指标标杆分值为10分，根据评分标准，该指标不扣分。得10分</w:t>
      </w:r>
      <w:r>
        <w:rPr>
          <w:rFonts w:hint="eastAsia" w:ascii="方正仿宋_GBK" w:hAnsi="方正仿宋_GBK" w:eastAsia="方正仿宋_GBK" w:cs="方正仿宋_GBK"/>
          <w:color w:val="000000"/>
          <w:kern w:val="2"/>
          <w:sz w:val="32"/>
          <w:szCs w:val="32"/>
          <w:lang w:val="en-US" w:eastAsia="zh-CN" w:bidi="ar"/>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（2）对于“产出质量”：</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资金足额保障率100%，与预期目标一致，指标标杆分值为10分,根据评分标准，该指标不扣分，得10分。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（3）对于“产出时效”：</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资金支付及时率100%，与预期目标一致，指标标杆分值为10分,根据评分标准，该指标不扣分，得10分。    </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项目完成及时率100%，与预期目标一致，指标标杆分值为10分，根据评分标准，该指标不扣分，得10分。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（4）对于“产出成本”：</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default" w:ascii="方正仿宋_GBK" w:hAnsi="方正仿宋_GBK" w:eastAsia="方正仿宋_GBK" w:cs="方正仿宋_GBK"/>
          <w:b w:val="0"/>
          <w:bCs w:val="0"/>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项目管理费成本120万元</w:t>
      </w:r>
      <w:r>
        <w:rPr>
          <w:rFonts w:hint="eastAsia" w:ascii="方正仿宋_GBK" w:hAnsi="方正仿宋_GBK" w:eastAsia="方正仿宋_GBK" w:cs="方正仿宋_GBK"/>
          <w:b w:val="0"/>
          <w:bCs w:val="0"/>
          <w:color w:val="000000"/>
          <w:kern w:val="2"/>
          <w:sz w:val="32"/>
          <w:szCs w:val="32"/>
          <w:lang w:val="en-US" w:eastAsia="zh-CN" w:bidi="ar-SA"/>
        </w:rPr>
        <w:t>，</w:t>
      </w:r>
      <w:r>
        <w:rPr>
          <w:rFonts w:hint="eastAsia" w:ascii="方正仿宋_GBK" w:hAnsi="方正仿宋_GBK" w:eastAsia="方正仿宋_GBK" w:cs="方正仿宋_GBK"/>
          <w:color w:val="000000"/>
          <w:kern w:val="2"/>
          <w:sz w:val="32"/>
          <w:szCs w:val="32"/>
          <w:lang w:val="en-US" w:eastAsia="zh-CN" w:bidi="ar-SA"/>
        </w:rPr>
        <w:t>与预期目标不一致，指标标杆分值为10分,根据评分标准，该指标扣2分，得8分。</w:t>
      </w:r>
      <w:r>
        <w:rPr>
          <w:rFonts w:hint="eastAsia" w:ascii="方正仿宋_GBK" w:hAnsi="方正仿宋_GBK" w:eastAsia="方正仿宋_GBK" w:cs="方正仿宋_GBK"/>
          <w:b w:val="0"/>
          <w:bCs w:val="0"/>
          <w:color w:val="000000"/>
          <w:kern w:val="2"/>
          <w:sz w:val="32"/>
          <w:szCs w:val="32"/>
          <w:lang w:val="en-US" w:eastAsia="zh-CN" w:bidi="ar-SA"/>
        </w:rPr>
        <w:t>。</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b w:val="0"/>
          <w:bCs w:val="0"/>
          <w:color w:val="000000"/>
          <w:kern w:val="2"/>
          <w:sz w:val="32"/>
          <w:szCs w:val="32"/>
          <w:lang w:val="en-US" w:eastAsia="zh-CN" w:bidi="ar-SA"/>
        </w:rPr>
      </w:pPr>
      <w:r>
        <w:rPr>
          <w:rFonts w:hint="eastAsia" w:ascii="方正仿宋_GBK" w:hAnsi="方正仿宋_GBK" w:eastAsia="方正仿宋_GBK" w:cs="方正仿宋_GBK"/>
          <w:b w:val="0"/>
          <w:bCs w:val="0"/>
          <w:color w:val="000000"/>
          <w:kern w:val="2"/>
          <w:sz w:val="32"/>
          <w:szCs w:val="32"/>
          <w:lang w:val="en-US" w:eastAsia="zh-CN" w:bidi="ar-SA"/>
        </w:rPr>
        <w:t>产出指标合计得48分。</w:t>
      </w:r>
    </w:p>
    <w:p>
      <w:pPr>
        <w:keepNext w:val="0"/>
        <w:keepLines w:val="0"/>
        <w:pageBreakBefore w:val="0"/>
        <w:widowControl w:val="0"/>
        <w:kinsoku/>
        <w:overflowPunct/>
        <w:topLinePunct w:val="0"/>
        <w:autoSpaceDN/>
        <w:bidi w:val="0"/>
        <w:adjustRightInd/>
        <w:snapToGrid/>
        <w:spacing w:line="600" w:lineRule="exact"/>
        <w:ind w:firstLine="643" w:firstLineChars="200"/>
        <w:jc w:val="left"/>
        <w:textAlignment w:val="auto"/>
        <w:rPr>
          <w:rFonts w:hint="eastAsia" w:ascii="方正仿宋_GB2312" w:hAnsi="方正仿宋_GB2312" w:eastAsia="方正仿宋_GB2312" w:cs="方正仿宋_GB2312"/>
          <w:b/>
          <w:bCs/>
          <w:color w:val="000000"/>
          <w:kern w:val="2"/>
          <w:sz w:val="32"/>
          <w:szCs w:val="32"/>
          <w:lang w:val="en-US" w:eastAsia="zh-CN" w:bidi="ar-SA"/>
        </w:rPr>
      </w:pPr>
      <w:r>
        <w:rPr>
          <w:rFonts w:hint="eastAsia" w:ascii="方正仿宋_GBK" w:hAnsi="方正仿宋_GBK" w:eastAsia="方正仿宋_GBK" w:cs="方正仿宋_GBK"/>
          <w:b/>
          <w:bCs/>
          <w:color w:val="000000"/>
          <w:sz w:val="32"/>
          <w:szCs w:val="32"/>
          <w:lang w:val="en-US" w:eastAsia="zh-CN"/>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default"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（1）对于“经济效益指标”：无</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（2）对于“社会效益指标”：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color w:val="000000"/>
          <w:kern w:val="2"/>
          <w:sz w:val="32"/>
          <w:szCs w:val="32"/>
          <w:lang w:val="en-US" w:eastAsia="zh-CN" w:bidi="ar-SA"/>
        </w:rPr>
        <w:t>有效提升项目管理的成效，与预期目标一致，指标标杆分值为30分，根据评分标准，该指标不扣分，得30分。</w:t>
      </w:r>
    </w:p>
    <w:p>
      <w:pPr>
        <w:pStyle w:val="3"/>
        <w:keepNext w:val="0"/>
        <w:keepLines w:val="0"/>
        <w:pageBreakBefore w:val="0"/>
        <w:widowControl w:val="0"/>
        <w:numPr>
          <w:ilvl w:val="0"/>
          <w:numId w:val="1"/>
        </w:numPr>
        <w:kinsoku/>
        <w:overflowPunct/>
        <w:topLinePunct w:val="0"/>
        <w:autoSpaceDN/>
        <w:bidi w:val="0"/>
        <w:adjustRightInd/>
        <w:snapToGrid/>
        <w:spacing w:line="600" w:lineRule="exact"/>
        <w:ind w:left="0" w:leftChars="0"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对于“生态效益指标”：无</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default"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（4）对于“可持续影响指标”：无</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实施效益指标合计得30分。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3" w:firstLineChars="200"/>
        <w:jc w:val="left"/>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3.满意度指标完成情况分析。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对于“满意度指标”：受益机构满意度95%，与预期目标一致，根据评分标准，该指标不扣分,得10分。</w:t>
      </w:r>
    </w:p>
    <w:p>
      <w:pPr>
        <w:keepNext w:val="0"/>
        <w:keepLines w:val="0"/>
        <w:pageBreakBefore w:val="0"/>
        <w:widowControl w:val="0"/>
        <w:tabs>
          <w:tab w:val="left" w:pos="304"/>
        </w:tabs>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bCs w:val="0"/>
          <w:color w:val="000000"/>
          <w:sz w:val="32"/>
          <w:szCs w:val="32"/>
          <w:lang w:val="en-US" w:eastAsia="zh-CN"/>
        </w:rPr>
      </w:pPr>
      <w:r>
        <w:rPr>
          <w:rFonts w:hint="eastAsia" w:ascii="方正公文黑体" w:hAnsi="方正公文黑体" w:eastAsia="方正公文黑体" w:cs="方正公文黑体"/>
          <w:b/>
          <w:bCs w:val="0"/>
          <w:color w:val="000000"/>
          <w:sz w:val="32"/>
          <w:szCs w:val="32"/>
          <w:lang w:val="en-US" w:eastAsia="zh-CN"/>
        </w:rPr>
        <w:t>四、偏离绩效目标的原因和下一步改进措施</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60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叶城县项目管理费项目预算150万元，到位150万元，实际支出120万元，预算执行率为80%，项目绩效指标总体完成率为96%，偏差率为16%，偏差原因：部分尾款2024年支付；改进措施：加快项目进度，支付资金。</w:t>
      </w:r>
    </w:p>
    <w:p>
      <w:pPr>
        <w:keepNext w:val="0"/>
        <w:keepLines w:val="0"/>
        <w:pageBreakBefore w:val="0"/>
        <w:widowControl w:val="0"/>
        <w:tabs>
          <w:tab w:val="left" w:pos="304"/>
        </w:tabs>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bCs w:val="0"/>
          <w:color w:val="000000"/>
          <w:sz w:val="32"/>
          <w:szCs w:val="32"/>
          <w:lang w:val="en-US" w:eastAsia="zh-CN"/>
        </w:rPr>
      </w:pPr>
      <w:r>
        <w:rPr>
          <w:rFonts w:hint="eastAsia" w:ascii="方正公文黑体" w:hAnsi="方正公文黑体" w:eastAsia="方正公文黑体" w:cs="方正公文黑体"/>
          <w:b/>
          <w:bCs w:val="0"/>
          <w:color w:val="000000"/>
          <w:sz w:val="32"/>
          <w:szCs w:val="32"/>
          <w:lang w:val="en-US" w:eastAsia="zh-CN"/>
        </w:rPr>
        <w:t>五、综合评价结论</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val="0"/>
        <w:snapToGrid w:val="0"/>
        <w:spacing w:line="60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叶城县项目管理费项目的实施有效提升项目管理的成效。该项目最终评分96分，绩效评级为“优”。</w:t>
      </w:r>
    </w:p>
    <w:p>
      <w:pPr>
        <w:keepNext w:val="0"/>
        <w:keepLines w:val="0"/>
        <w:pageBreakBefore w:val="0"/>
        <w:widowControl w:val="0"/>
        <w:tabs>
          <w:tab w:val="left" w:pos="304"/>
        </w:tabs>
        <w:kinsoku/>
        <w:overflowPunct/>
        <w:topLinePunct w:val="0"/>
        <w:autoSpaceDN/>
        <w:bidi w:val="0"/>
        <w:adjustRightInd/>
        <w:snapToGrid/>
        <w:spacing w:line="600" w:lineRule="exact"/>
        <w:ind w:firstLine="641" w:firstLineChars="200"/>
        <w:jc w:val="left"/>
        <w:textAlignment w:val="auto"/>
        <w:rPr>
          <w:rFonts w:hint="eastAsia" w:ascii="方正公文黑体" w:hAnsi="方正公文黑体" w:eastAsia="方正公文黑体" w:cs="方正公文黑体"/>
          <w:b/>
          <w:bCs w:val="0"/>
          <w:color w:val="000000"/>
          <w:sz w:val="32"/>
          <w:szCs w:val="32"/>
          <w:lang w:val="en-US" w:eastAsia="zh-CN"/>
        </w:rPr>
      </w:pPr>
      <w:r>
        <w:rPr>
          <w:rFonts w:hint="eastAsia" w:ascii="方正公文黑体" w:hAnsi="方正公文黑体" w:eastAsia="方正公文黑体" w:cs="方正公文黑体"/>
          <w:b/>
          <w:bCs w:val="0"/>
          <w:color w:val="000000"/>
          <w:sz w:val="32"/>
          <w:szCs w:val="32"/>
          <w:lang w:val="en-US" w:eastAsia="zh-CN"/>
        </w:rPr>
        <w:t>六、绩效自评结果拟应用和公开情况</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17"/>
        <w:keepNext w:val="0"/>
        <w:keepLines w:val="0"/>
        <w:pageBreakBefore w:val="0"/>
        <w:widowControl w:val="0"/>
        <w:kinsoku/>
        <w:overflowPunct/>
        <w:topLinePunct w:val="0"/>
        <w:autoSpaceDN/>
        <w:bidi w:val="0"/>
        <w:adjustRightInd/>
        <w:snapToGrid/>
        <w:spacing w:line="60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17"/>
        <w:keepNext w:val="0"/>
        <w:keepLines w:val="0"/>
        <w:pageBreakBefore w:val="0"/>
        <w:widowControl w:val="0"/>
        <w:kinsoku/>
        <w:wordWrap/>
        <w:overflowPunct/>
        <w:topLinePunct w:val="0"/>
        <w:autoSpaceDE/>
        <w:autoSpaceDN/>
        <w:bidi w:val="0"/>
        <w:adjustRightInd/>
        <w:snapToGrid/>
        <w:spacing w:line="600" w:lineRule="exact"/>
        <w:ind w:firstLine="641"/>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pageBreakBefore w:val="0"/>
        <w:widowControl w:val="0"/>
        <w:kinsoku/>
        <w:overflowPunct/>
        <w:topLinePunct w:val="0"/>
        <w:autoSpaceDN/>
        <w:bidi w:val="0"/>
        <w:spacing w:line="600" w:lineRule="exact"/>
        <w:ind w:firstLine="641" w:firstLineChars="200"/>
        <w:textAlignment w:val="auto"/>
        <w:rPr>
          <w:rFonts w:hint="eastAsia" w:ascii="方正公文黑体" w:hAnsi="方正公文黑体" w:eastAsia="方正公文黑体" w:cs="方正公文黑体"/>
          <w:b/>
          <w:bCs/>
          <w:sz w:val="32"/>
          <w:szCs w:val="32"/>
        </w:rPr>
      </w:pPr>
      <w:r>
        <w:rPr>
          <w:rFonts w:hint="eastAsia" w:ascii="方正公文黑体" w:hAnsi="方正公文黑体" w:eastAsia="方正公文黑体" w:cs="方正公文黑体"/>
          <w:b/>
          <w:bCs/>
          <w:sz w:val="32"/>
          <w:szCs w:val="32"/>
          <w:lang w:val="en-US" w:eastAsia="zh-CN"/>
        </w:rPr>
        <w:t>七、</w:t>
      </w:r>
      <w:r>
        <w:rPr>
          <w:rFonts w:hint="eastAsia" w:ascii="方正公文黑体" w:hAnsi="方正公文黑体" w:eastAsia="方正公文黑体" w:cs="方正公文黑体"/>
          <w:b w:val="0"/>
          <w:bCs/>
          <w:spacing w:val="-4"/>
          <w:sz w:val="32"/>
          <w:szCs w:val="32"/>
        </w:rPr>
        <w:t>绩效评价工作有关说明</w:t>
      </w:r>
    </w:p>
    <w:p>
      <w:pPr>
        <w:pStyle w:val="3"/>
        <w:keepNext w:val="0"/>
        <w:keepLines w:val="0"/>
        <w:pageBreakBefore w:val="0"/>
        <w:widowControl w:val="0"/>
        <w:numPr>
          <w:ilvl w:val="0"/>
          <w:numId w:val="0"/>
        </w:numPr>
        <w:kinsoku/>
        <w:overflowPunct/>
        <w:topLinePunct w:val="0"/>
        <w:autoSpaceDN/>
        <w:bidi w:val="0"/>
        <w:adjustRightInd/>
        <w:snapToGrid/>
        <w:spacing w:line="600" w:lineRule="exact"/>
        <w:ind w:firstLine="640" w:firstLineChars="200"/>
        <w:textAlignment w:val="auto"/>
        <w:rPr>
          <w:rFonts w:hint="eastAsia" w:ascii="方正仿宋_GB2312" w:hAnsi="方正仿宋_GB2312" w:eastAsia="方正仿宋_GB2312" w:cs="方正仿宋_GB2312"/>
        </w:rPr>
      </w:pPr>
      <w:r>
        <w:rPr>
          <w:rFonts w:hint="eastAsia" w:ascii="方正仿宋_GBK" w:hAnsi="方正仿宋_GBK" w:eastAsia="方正仿宋_GBK" w:cs="方正仿宋_GBK"/>
          <w:sz w:val="32"/>
          <w:szCs w:val="32"/>
        </w:rPr>
        <w:t>单位成立了项目绩效评价工作小组，项目组长为</w:t>
      </w:r>
      <w:r>
        <w:rPr>
          <w:rFonts w:hint="eastAsia" w:ascii="方正仿宋_GBK" w:hAnsi="方正仿宋_GBK" w:eastAsia="方正仿宋_GBK" w:cs="方正仿宋_GBK"/>
          <w:sz w:val="32"/>
          <w:szCs w:val="32"/>
          <w:lang w:val="en-US" w:eastAsia="zh-CN"/>
        </w:rPr>
        <w:t>唐俊</w:t>
      </w:r>
      <w:r>
        <w:rPr>
          <w:rFonts w:hint="eastAsia" w:ascii="方正仿宋_GBK" w:hAnsi="方正仿宋_GBK" w:eastAsia="方正仿宋_GBK" w:cs="方正仿宋_GBK"/>
          <w:sz w:val="32"/>
          <w:szCs w:val="32"/>
        </w:rPr>
        <w:t>，主要负责制定项目评价方案。项目成员为</w:t>
      </w:r>
      <w:r>
        <w:rPr>
          <w:rFonts w:hint="eastAsia" w:ascii="方正仿宋_GBK" w:hAnsi="方正仿宋_GBK" w:eastAsia="方正仿宋_GBK" w:cs="方正仿宋_GBK"/>
          <w:sz w:val="32"/>
          <w:szCs w:val="32"/>
          <w:lang w:val="en-US" w:eastAsia="zh-CN"/>
        </w:rPr>
        <w:t>李斌</w:t>
      </w:r>
      <w:r>
        <w:rPr>
          <w:rFonts w:hint="eastAsia" w:ascii="方正仿宋_GBK" w:hAnsi="方正仿宋_GBK" w:eastAsia="方正仿宋_GBK" w:cs="方正仿宋_GBK"/>
          <w:sz w:val="32"/>
          <w:szCs w:val="32"/>
        </w:rPr>
        <w:t xml:space="preserve"> ，主要负责收集核查项目资料、现场实地调查资料、绩效的监控情况资料、最终形成自评报告的初稿。</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HYb2gj">
    <w:altName w:val="宋体"/>
    <w:panose1 w:val="00000000000000000000"/>
    <w:charset w:val="86"/>
    <w:family w:val="modern"/>
    <w:pitch w:val="default"/>
    <w:sig w:usb0="00000000" w:usb1="00000000" w:usb2="00000010" w:usb3="00000000" w:csb0="00040000" w:csb1="00000000"/>
  </w:font>
  <w:font w:name="方正仿宋_GB2312">
    <w:altName w:val="仿宋"/>
    <w:panose1 w:val="02000000000000000000"/>
    <w:charset w:val="86"/>
    <w:family w:val="auto"/>
    <w:pitch w:val="default"/>
    <w:sig w:usb0="00000000" w:usb1="00000000" w:usb2="00000012" w:usb3="00000000" w:csb0="00040001" w:csb1="00000000"/>
    <w:embedRegular r:id="rId1" w:fontKey="{76470E54-EC15-4487-B978-6F7777AA7F7D}"/>
  </w:font>
  <w:font w:name="方正小标宋_GBK">
    <w:panose1 w:val="03000509000000000000"/>
    <w:charset w:val="86"/>
    <w:family w:val="auto"/>
    <w:pitch w:val="default"/>
    <w:sig w:usb0="00000001" w:usb1="080E0000" w:usb2="00000000" w:usb3="00000000" w:csb0="00040000" w:csb1="00000000"/>
    <w:embedRegular r:id="rId2" w:fontKey="{1DB017D6-EE83-4E1A-B9DF-138BFD681A82}"/>
  </w:font>
  <w:font w:name="方正公文黑体">
    <w:panose1 w:val="02000500000000000000"/>
    <w:charset w:val="86"/>
    <w:family w:val="auto"/>
    <w:pitch w:val="default"/>
    <w:sig w:usb0="00000000" w:usb1="00000000" w:usb2="00000000" w:usb3="00000000" w:csb0="00000000" w:csb1="00000000"/>
    <w:embedRegular r:id="rId3" w:fontKey="{FE9D845A-179D-48A8-838E-B72DA45919E6}"/>
  </w:font>
  <w:font w:name="方正楷体_GBK">
    <w:panose1 w:val="02000000000000000000"/>
    <w:charset w:val="86"/>
    <w:family w:val="auto"/>
    <w:pitch w:val="default"/>
    <w:sig w:usb0="00000000" w:usb1="00000000" w:usb2="00000000" w:usb3="00000000" w:csb0="00000000" w:csb1="00000000"/>
    <w:embedRegular r:id="rId4" w:fontKey="{0ACE9FFA-7E7F-4459-AFF1-FD9666CC94FF}"/>
  </w:font>
  <w:font w:name="方正仿宋_GBK">
    <w:panose1 w:val="03000509000000000000"/>
    <w:charset w:val="86"/>
    <w:family w:val="auto"/>
    <w:pitch w:val="default"/>
    <w:sig w:usb0="00000001" w:usb1="080E0000" w:usb2="00000000" w:usb3="00000000" w:csb0="00040000" w:csb1="00000000"/>
    <w:embedRegular r:id="rId5" w:fontKey="{B0E6B2E9-3A78-467C-A25E-D0847D4279F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90F69C"/>
    <w:multiLevelType w:val="singleLevel"/>
    <w:tmpl w:val="8D90F69C"/>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iMzEyZTU4NDY2YTVlZTc5NDE2YWRlZWI0YjIxMzMifQ=="/>
  </w:docVars>
  <w:rsids>
    <w:rsidRoot w:val="00F20A26"/>
    <w:rsid w:val="003E0379"/>
    <w:rsid w:val="0055176E"/>
    <w:rsid w:val="00F20A26"/>
    <w:rsid w:val="014527E0"/>
    <w:rsid w:val="017E7283"/>
    <w:rsid w:val="01B16AD4"/>
    <w:rsid w:val="03D02352"/>
    <w:rsid w:val="04492F15"/>
    <w:rsid w:val="04E27C10"/>
    <w:rsid w:val="051D4572"/>
    <w:rsid w:val="059A592B"/>
    <w:rsid w:val="060B63F9"/>
    <w:rsid w:val="069B7C33"/>
    <w:rsid w:val="06A14068"/>
    <w:rsid w:val="06CA127C"/>
    <w:rsid w:val="06D14EBD"/>
    <w:rsid w:val="07A62D33"/>
    <w:rsid w:val="089E0931"/>
    <w:rsid w:val="08E745A8"/>
    <w:rsid w:val="08EC01DC"/>
    <w:rsid w:val="09B5177D"/>
    <w:rsid w:val="09C51A18"/>
    <w:rsid w:val="0A833B0A"/>
    <w:rsid w:val="0A922065"/>
    <w:rsid w:val="0AA66B07"/>
    <w:rsid w:val="0AF70B9A"/>
    <w:rsid w:val="0B14133A"/>
    <w:rsid w:val="0B14713B"/>
    <w:rsid w:val="0B2A6DDE"/>
    <w:rsid w:val="0B796AE0"/>
    <w:rsid w:val="0BEE0E2E"/>
    <w:rsid w:val="0C485EB3"/>
    <w:rsid w:val="0C5D4B54"/>
    <w:rsid w:val="0D5C24F8"/>
    <w:rsid w:val="0E6C0137"/>
    <w:rsid w:val="0EA36093"/>
    <w:rsid w:val="10291BDB"/>
    <w:rsid w:val="109D38CF"/>
    <w:rsid w:val="10F3685C"/>
    <w:rsid w:val="11767E6D"/>
    <w:rsid w:val="11B13797"/>
    <w:rsid w:val="129064AA"/>
    <w:rsid w:val="12A245A9"/>
    <w:rsid w:val="1363315E"/>
    <w:rsid w:val="139274D2"/>
    <w:rsid w:val="13FF553A"/>
    <w:rsid w:val="143940BA"/>
    <w:rsid w:val="146249AE"/>
    <w:rsid w:val="14653122"/>
    <w:rsid w:val="155305B7"/>
    <w:rsid w:val="157D344D"/>
    <w:rsid w:val="15C10B6C"/>
    <w:rsid w:val="16165BCA"/>
    <w:rsid w:val="1652472A"/>
    <w:rsid w:val="16C60FC1"/>
    <w:rsid w:val="174A2743"/>
    <w:rsid w:val="17A20BD4"/>
    <w:rsid w:val="17F82735"/>
    <w:rsid w:val="18501FF1"/>
    <w:rsid w:val="18725A29"/>
    <w:rsid w:val="187A025D"/>
    <w:rsid w:val="1937751C"/>
    <w:rsid w:val="19582824"/>
    <w:rsid w:val="199F16A9"/>
    <w:rsid w:val="1A0F25EA"/>
    <w:rsid w:val="1A1D7F55"/>
    <w:rsid w:val="1A2950FA"/>
    <w:rsid w:val="1A2C43D9"/>
    <w:rsid w:val="1ABF7AF2"/>
    <w:rsid w:val="1B4D6D35"/>
    <w:rsid w:val="1BCD646C"/>
    <w:rsid w:val="1CA5548E"/>
    <w:rsid w:val="1E6E4A7A"/>
    <w:rsid w:val="1EDE3E34"/>
    <w:rsid w:val="1EE56FC9"/>
    <w:rsid w:val="1F207648"/>
    <w:rsid w:val="1FA55D25"/>
    <w:rsid w:val="20183F4F"/>
    <w:rsid w:val="207C25DC"/>
    <w:rsid w:val="21112ACF"/>
    <w:rsid w:val="21495609"/>
    <w:rsid w:val="216E75E5"/>
    <w:rsid w:val="22084AEF"/>
    <w:rsid w:val="222D4521"/>
    <w:rsid w:val="22694385"/>
    <w:rsid w:val="22E936F1"/>
    <w:rsid w:val="231F280B"/>
    <w:rsid w:val="233E0F44"/>
    <w:rsid w:val="23C32038"/>
    <w:rsid w:val="243A0D7D"/>
    <w:rsid w:val="246805C8"/>
    <w:rsid w:val="26A54E2B"/>
    <w:rsid w:val="277811CF"/>
    <w:rsid w:val="283554E8"/>
    <w:rsid w:val="292D2274"/>
    <w:rsid w:val="29716D8C"/>
    <w:rsid w:val="29EC0C5C"/>
    <w:rsid w:val="2A082782"/>
    <w:rsid w:val="2A2A12BD"/>
    <w:rsid w:val="2AE17EE7"/>
    <w:rsid w:val="2B1E4C6A"/>
    <w:rsid w:val="2C347160"/>
    <w:rsid w:val="2C3C36C0"/>
    <w:rsid w:val="2C3C4CA0"/>
    <w:rsid w:val="2D5F13D7"/>
    <w:rsid w:val="2DE64CDC"/>
    <w:rsid w:val="2E51749D"/>
    <w:rsid w:val="2ECD73FA"/>
    <w:rsid w:val="2F537431"/>
    <w:rsid w:val="31A02A0C"/>
    <w:rsid w:val="31AE0AA6"/>
    <w:rsid w:val="31E267E6"/>
    <w:rsid w:val="326C674A"/>
    <w:rsid w:val="33192699"/>
    <w:rsid w:val="3334290F"/>
    <w:rsid w:val="339A68C0"/>
    <w:rsid w:val="34814B30"/>
    <w:rsid w:val="34E46DD3"/>
    <w:rsid w:val="34F06469"/>
    <w:rsid w:val="3578213F"/>
    <w:rsid w:val="365A34BC"/>
    <w:rsid w:val="37111966"/>
    <w:rsid w:val="37B449F3"/>
    <w:rsid w:val="386D751C"/>
    <w:rsid w:val="3888024E"/>
    <w:rsid w:val="39362B7D"/>
    <w:rsid w:val="39764C54"/>
    <w:rsid w:val="39D15C66"/>
    <w:rsid w:val="3A667D78"/>
    <w:rsid w:val="3ABD5C6F"/>
    <w:rsid w:val="3AE520ED"/>
    <w:rsid w:val="3B17091C"/>
    <w:rsid w:val="3B325C2E"/>
    <w:rsid w:val="3B366832"/>
    <w:rsid w:val="3B8D7241"/>
    <w:rsid w:val="3CF15936"/>
    <w:rsid w:val="3D2518E1"/>
    <w:rsid w:val="3F127E08"/>
    <w:rsid w:val="3F48643C"/>
    <w:rsid w:val="405C4927"/>
    <w:rsid w:val="40AE4711"/>
    <w:rsid w:val="41534C17"/>
    <w:rsid w:val="41871287"/>
    <w:rsid w:val="42145E76"/>
    <w:rsid w:val="42493DDC"/>
    <w:rsid w:val="4283287D"/>
    <w:rsid w:val="44764150"/>
    <w:rsid w:val="447B4066"/>
    <w:rsid w:val="44D24A75"/>
    <w:rsid w:val="45986DBD"/>
    <w:rsid w:val="460B12FA"/>
    <w:rsid w:val="47207E1C"/>
    <w:rsid w:val="478C691E"/>
    <w:rsid w:val="4794337F"/>
    <w:rsid w:val="47A73950"/>
    <w:rsid w:val="48C83770"/>
    <w:rsid w:val="4A610F14"/>
    <w:rsid w:val="4AEA19C0"/>
    <w:rsid w:val="4BA819CC"/>
    <w:rsid w:val="4BC9290B"/>
    <w:rsid w:val="4C606A22"/>
    <w:rsid w:val="4C917D51"/>
    <w:rsid w:val="4CC61682"/>
    <w:rsid w:val="4D480957"/>
    <w:rsid w:val="4EC35108"/>
    <w:rsid w:val="4EDF1CF2"/>
    <w:rsid w:val="4F9636DF"/>
    <w:rsid w:val="500A39DE"/>
    <w:rsid w:val="532B4880"/>
    <w:rsid w:val="53DC24A5"/>
    <w:rsid w:val="540013E0"/>
    <w:rsid w:val="5423235E"/>
    <w:rsid w:val="54575230"/>
    <w:rsid w:val="55DA66E7"/>
    <w:rsid w:val="567F11BD"/>
    <w:rsid w:val="56A33BB2"/>
    <w:rsid w:val="56B6734F"/>
    <w:rsid w:val="5716066D"/>
    <w:rsid w:val="572278C6"/>
    <w:rsid w:val="58D802CE"/>
    <w:rsid w:val="58D83B51"/>
    <w:rsid w:val="58D92D10"/>
    <w:rsid w:val="596013A4"/>
    <w:rsid w:val="59687BBD"/>
    <w:rsid w:val="5A4440A8"/>
    <w:rsid w:val="5A6C22B3"/>
    <w:rsid w:val="5AC46F75"/>
    <w:rsid w:val="5B5A5C05"/>
    <w:rsid w:val="5CBC4731"/>
    <w:rsid w:val="5CDE3811"/>
    <w:rsid w:val="5CEF0BA5"/>
    <w:rsid w:val="5D451315"/>
    <w:rsid w:val="5DA73435"/>
    <w:rsid w:val="5DC23607"/>
    <w:rsid w:val="5F446AF4"/>
    <w:rsid w:val="601551CD"/>
    <w:rsid w:val="614F4951"/>
    <w:rsid w:val="61F94649"/>
    <w:rsid w:val="6204625D"/>
    <w:rsid w:val="625911EA"/>
    <w:rsid w:val="628132A8"/>
    <w:rsid w:val="62DE1443"/>
    <w:rsid w:val="633C17DD"/>
    <w:rsid w:val="63F34A5D"/>
    <w:rsid w:val="647906B5"/>
    <w:rsid w:val="64DD3107"/>
    <w:rsid w:val="651A36AB"/>
    <w:rsid w:val="67133065"/>
    <w:rsid w:val="67871415"/>
    <w:rsid w:val="67AE2F25"/>
    <w:rsid w:val="696E5D98"/>
    <w:rsid w:val="6AC53C59"/>
    <w:rsid w:val="6AD1501D"/>
    <w:rsid w:val="6AF36585"/>
    <w:rsid w:val="6B8D2F01"/>
    <w:rsid w:val="6B8F7DCC"/>
    <w:rsid w:val="6BA23EB9"/>
    <w:rsid w:val="6C0C78D8"/>
    <w:rsid w:val="6C31178D"/>
    <w:rsid w:val="6CF720DE"/>
    <w:rsid w:val="6D276602"/>
    <w:rsid w:val="6E442175"/>
    <w:rsid w:val="6E8354DD"/>
    <w:rsid w:val="6E9666FC"/>
    <w:rsid w:val="6EC22A43"/>
    <w:rsid w:val="70814FA2"/>
    <w:rsid w:val="717C2C3C"/>
    <w:rsid w:val="71A83BF0"/>
    <w:rsid w:val="71F83C19"/>
    <w:rsid w:val="722F68CA"/>
    <w:rsid w:val="727047CE"/>
    <w:rsid w:val="733F35F9"/>
    <w:rsid w:val="734170A4"/>
    <w:rsid w:val="736308DE"/>
    <w:rsid w:val="73655FDF"/>
    <w:rsid w:val="754045EC"/>
    <w:rsid w:val="75E93780"/>
    <w:rsid w:val="76733480"/>
    <w:rsid w:val="768129FA"/>
    <w:rsid w:val="76C57C6B"/>
    <w:rsid w:val="7728494E"/>
    <w:rsid w:val="7783722C"/>
    <w:rsid w:val="79510295"/>
    <w:rsid w:val="799E4E95"/>
    <w:rsid w:val="7B580975"/>
    <w:rsid w:val="7B625A7B"/>
    <w:rsid w:val="7C4F2E4B"/>
    <w:rsid w:val="7DF847BA"/>
    <w:rsid w:val="7E984E50"/>
    <w:rsid w:val="7F0F3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qFormat/>
    <w:uiPriority w:val="9"/>
    <w:pPr>
      <w:keepNext/>
      <w:keepLines/>
      <w:spacing w:before="340" w:after="330" w:line="578" w:lineRule="auto"/>
      <w:jc w:val="left"/>
      <w:outlineLvl w:val="0"/>
    </w:pPr>
    <w:rPr>
      <w:rFonts w:ascii="Times New Roman" w:hAnsi="Times New Roman" w:cs="Times New Roman"/>
      <w:b/>
      <w:bCs/>
      <w:kern w:val="44"/>
      <w:sz w:val="32"/>
      <w:szCs w:val="44"/>
    </w:rPr>
  </w:style>
  <w:style w:type="paragraph" w:styleId="5">
    <w:name w:val="heading 2"/>
    <w:basedOn w:val="1"/>
    <w:next w:val="1"/>
    <w:qFormat/>
    <w:uiPriority w:val="0"/>
    <w:pPr>
      <w:keepNext/>
      <w:keepLines/>
      <w:spacing w:before="260" w:after="260" w:line="415" w:lineRule="auto"/>
      <w:ind w:firstLine="200"/>
      <w:jc w:val="left"/>
      <w:outlineLvl w:val="1"/>
    </w:pPr>
    <w:rPr>
      <w:rFonts w:ascii="Cambria" w:hAnsi="Cambria" w:cs="Times New Roman"/>
      <w:b/>
      <w:bCs/>
      <w:kern w:val="0"/>
      <w:sz w:val="30"/>
      <w:szCs w:val="32"/>
    </w:rPr>
  </w:style>
  <w:style w:type="paragraph" w:styleId="6">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3">
    <w:name w:val="Body Text First Indent 2"/>
    <w:basedOn w:val="4"/>
    <w:unhideWhenUsed/>
    <w:qFormat/>
    <w:uiPriority w:val="0"/>
    <w:pPr>
      <w:ind w:firstLine="420"/>
    </w:pPr>
  </w:style>
  <w:style w:type="paragraph" w:styleId="4">
    <w:name w:val="Body Text Indent"/>
    <w:basedOn w:val="1"/>
    <w:unhideWhenUsed/>
    <w:qFormat/>
    <w:uiPriority w:val="99"/>
    <w:pPr>
      <w:spacing w:after="120"/>
      <w:ind w:left="420" w:leftChars="200"/>
    </w:pPr>
    <w:rPr>
      <w:rFonts w:cs="Times New Roman"/>
      <w:kern w:val="0"/>
      <w:szCs w:val="20"/>
    </w:rPr>
  </w:style>
  <w:style w:type="paragraph" w:styleId="7">
    <w:name w:val="annotation text"/>
    <w:basedOn w:val="1"/>
    <w:unhideWhenUsed/>
    <w:qFormat/>
    <w:uiPriority w:val="99"/>
    <w:rPr>
      <w:rFonts w:cs="Times New Roman"/>
      <w:kern w:val="0"/>
      <w:sz w:val="20"/>
      <w:szCs w:val="20"/>
    </w:rPr>
  </w:style>
  <w:style w:type="paragraph" w:styleId="8">
    <w:name w:val="Body Text"/>
    <w:basedOn w:val="1"/>
    <w:qFormat/>
    <w:uiPriority w:val="0"/>
    <w:pPr>
      <w:spacing w:before="240" w:after="240" w:line="360" w:lineRule="auto"/>
      <w:jc w:val="center"/>
    </w:pPr>
    <w:rPr>
      <w:b/>
      <w:sz w:val="44"/>
    </w:rPr>
  </w:style>
  <w:style w:type="paragraph" w:styleId="9">
    <w:name w:val="Plain Text"/>
    <w:basedOn w:val="1"/>
    <w:semiHidden/>
    <w:unhideWhenUsed/>
    <w:qFormat/>
    <w:uiPriority w:val="99"/>
    <w:rPr>
      <w:rFonts w:ascii="宋体" w:hAnsi="Courier New"/>
    </w:rPr>
  </w:style>
  <w:style w:type="paragraph" w:styleId="10">
    <w:name w:val="Body Text Indent 2"/>
    <w:basedOn w:val="1"/>
    <w:qFormat/>
    <w:uiPriority w:val="0"/>
    <w:pPr>
      <w:ind w:firstLine="280"/>
    </w:pPr>
    <w:rPr>
      <w:rFonts w:ascii="仿宋_GB2312" w:hAnsi="仿宋_GB2312" w:eastAsia="仿宋_GB2312"/>
      <w:kern w:val="1"/>
      <w:sz w:val="28"/>
    </w:rPr>
  </w:style>
  <w:style w:type="paragraph" w:styleId="11">
    <w:name w:val="footer"/>
    <w:basedOn w:val="1"/>
    <w:unhideWhenUsed/>
    <w:qFormat/>
    <w:uiPriority w:val="99"/>
    <w:pPr>
      <w:tabs>
        <w:tab w:val="center" w:pos="4153"/>
        <w:tab w:val="right" w:pos="8306"/>
      </w:tabs>
      <w:snapToGrid w:val="0"/>
      <w:jc w:val="left"/>
    </w:pPr>
    <w:rPr>
      <w:rFonts w:cs="Times New Roman"/>
      <w:kern w:val="0"/>
      <w:sz w:val="18"/>
      <w:szCs w:val="18"/>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character" w:styleId="15">
    <w:name w:val="Strong"/>
    <w:basedOn w:val="14"/>
    <w:qFormat/>
    <w:uiPriority w:val="0"/>
    <w:rPr>
      <w:b/>
      <w:bCs/>
    </w:rPr>
  </w:style>
  <w:style w:type="paragraph" w:customStyle="1" w:styleId="16">
    <w:name w:val="Default"/>
    <w:next w:val="1"/>
    <w:qFormat/>
    <w:uiPriority w:val="0"/>
    <w:pPr>
      <w:widowControl w:val="0"/>
      <w:autoSpaceDE w:val="0"/>
      <w:autoSpaceDN w:val="0"/>
      <w:adjustRightInd w:val="0"/>
    </w:pPr>
    <w:rPr>
      <w:rFonts w:ascii="HYb2gj" w:hAnsi="Times New Roman" w:eastAsia="HYb2gj" w:cs="HYb2gj"/>
      <w:color w:val="000000"/>
      <w:sz w:val="24"/>
      <w:szCs w:val="24"/>
      <w:lang w:val="en-US" w:eastAsia="zh-CN" w:bidi="ar-SA"/>
    </w:rPr>
  </w:style>
  <w:style w:type="paragraph" w:customStyle="1" w:styleId="1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18">
    <w:name w:val="闻政-正文二级标题"/>
    <w:basedOn w:val="5"/>
    <w:next w:val="17"/>
    <w:qFormat/>
    <w:uiPriority w:val="3"/>
    <w:pPr>
      <w:spacing w:before="120" w:after="60" w:line="500" w:lineRule="exact"/>
      <w:ind w:left="200" w:leftChars="200" w:firstLine="0" w:firstLineChars="0"/>
    </w:pPr>
    <w:rPr>
      <w:rFonts w:ascii="Times New Roman" w:hAnsi="Times New Roman"/>
      <w:sz w:val="28"/>
    </w:rPr>
  </w:style>
  <w:style w:type="paragraph" w:customStyle="1" w:styleId="1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3231</Words>
  <Characters>3404</Characters>
  <Lines>2</Lines>
  <Paragraphs>1</Paragraphs>
  <TotalTime>5</TotalTime>
  <ScaleCrop>false</ScaleCrop>
  <LinksUpToDate>false</LinksUpToDate>
  <CharactersWithSpaces>3458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2025-02-08T04:56:08Z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E68BDF8EA1CB4D08BD763D923B8EAD1E_13</vt:lpwstr>
  </property>
</Properties>
</file>