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jc w:val="center"/>
        <w:rPr>
          <w:rFonts w:ascii="方正小标宋简体" w:eastAsia="方正小标宋简体"/>
          <w:sz w:val="44"/>
          <w:szCs w:val="44"/>
        </w:rPr>
      </w:pPr>
    </w:p>
    <w:p>
      <w:pPr>
        <w:spacing w:beforeLines="50"/>
        <w:jc w:val="center"/>
        <w:rPr>
          <w:rFonts w:ascii="方正小标宋简体" w:eastAsia="方正小标宋简体"/>
          <w:sz w:val="44"/>
          <w:szCs w:val="44"/>
        </w:rPr>
      </w:pPr>
    </w:p>
    <w:p>
      <w:pPr>
        <w:spacing w:beforeLines="50"/>
        <w:jc w:val="center"/>
        <w:rPr>
          <w:rFonts w:ascii="方正小标宋简体" w:eastAsia="方正小标宋简体"/>
          <w:sz w:val="44"/>
          <w:szCs w:val="44"/>
        </w:rPr>
      </w:pPr>
    </w:p>
    <w:p>
      <w:pPr>
        <w:spacing w:beforeLines="50"/>
        <w:jc w:val="center"/>
        <w:rPr>
          <w:rFonts w:ascii="方正小标宋简体" w:eastAsia="方正小标宋简体"/>
          <w:sz w:val="44"/>
          <w:szCs w:val="44"/>
        </w:rPr>
      </w:pPr>
      <w:r>
        <w:rPr>
          <w:rFonts w:hint="eastAsia" w:ascii="方正小标宋简体" w:eastAsia="方正小标宋简体"/>
          <w:sz w:val="44"/>
          <w:szCs w:val="44"/>
        </w:rPr>
        <w:t>叶城县种子管理站老干部活动经费项目支出绩效评价报告</w:t>
      </w: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项目名称：老干部活动经费项目</w:t>
      </w: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实施单位：叶城县种子管理站</w:t>
      </w: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评价部门：叶城县种子管理站</w:t>
      </w: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2136" w:firstLineChars="600"/>
        <w:rPr>
          <w:rFonts w:ascii="仿宋_GB2312" w:hAnsi="仿宋" w:eastAsia="仿宋_GB2312" w:cs="Times New Roman"/>
          <w:spacing w:val="-2"/>
          <w:sz w:val="36"/>
          <w:szCs w:val="36"/>
        </w:rPr>
      </w:pPr>
    </w:p>
    <w:p>
      <w:pPr>
        <w:autoSpaceDE w:val="0"/>
        <w:autoSpaceDN w:val="0"/>
        <w:spacing w:line="540" w:lineRule="exact"/>
        <w:ind w:firstLine="2848" w:firstLineChars="8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二零二零年四月</w:t>
      </w:r>
    </w:p>
    <w:p>
      <w:pPr>
        <w:spacing w:beforeLines="50" w:line="0" w:lineRule="atLeast"/>
        <w:jc w:val="left"/>
        <w:rPr>
          <w:sz w:val="28"/>
          <w:szCs w:val="28"/>
        </w:rPr>
      </w:pPr>
    </w:p>
    <w:p>
      <w:pPr>
        <w:spacing w:beforeLines="50" w:afterLines="50" w:line="600" w:lineRule="exact"/>
        <w:rPr>
          <w:rFonts w:ascii="方正小标宋简体" w:hAnsi="仿宋_GB2312" w:eastAsia="方正小标宋简体" w:cs="仿宋_GB2312"/>
          <w:color w:val="FF0000"/>
          <w:kern w:val="0"/>
          <w:sz w:val="44"/>
          <w:szCs w:val="44"/>
          <w:shd w:val="clear" w:color="auto" w:fill="FFFFFF"/>
        </w:rPr>
      </w:pPr>
    </w:p>
    <w:p>
      <w:pPr>
        <w:pStyle w:val="25"/>
        <w:numPr>
          <w:ilvl w:val="0"/>
          <w:numId w:val="2"/>
        </w:numPr>
        <w:spacing w:line="560" w:lineRule="exact"/>
        <w:ind w:firstLineChars="0"/>
      </w:pPr>
      <w:r>
        <w:rPr>
          <w:rFonts w:hint="eastAsia"/>
        </w:rPr>
        <w:t>基本情况</w:t>
      </w:r>
    </w:p>
    <w:p>
      <w:pPr>
        <w:pStyle w:val="27"/>
        <w:spacing w:line="560" w:lineRule="exact"/>
        <w:ind w:left="0" w:firstLine="643" w:firstLineChars="200"/>
      </w:pPr>
      <w:bookmarkStart w:id="0" w:name="_Toc26401549"/>
      <w:r>
        <w:rPr>
          <w:rFonts w:hint="eastAsia"/>
        </w:rPr>
        <w:t>项目概况</w:t>
      </w:r>
      <w:bookmarkEnd w:id="0"/>
    </w:p>
    <w:p>
      <w:pPr>
        <w:pStyle w:val="21"/>
        <w:numPr>
          <w:ilvl w:val="0"/>
          <w:numId w:val="3"/>
        </w:numPr>
        <w:spacing w:line="560" w:lineRule="exact"/>
        <w:ind w:left="0" w:firstLine="640"/>
        <w:rPr>
          <w:rFonts w:ascii="仿宋_GB2312" w:hAnsi="仿宋" w:eastAsia="仿宋_GB2312" w:cs="宋体"/>
          <w:sz w:val="32"/>
          <w:szCs w:val="32"/>
        </w:rPr>
      </w:pPr>
      <w:r>
        <w:rPr>
          <w:rFonts w:hint="eastAsia" w:ascii="仿宋_GB2312" w:hAnsi="仿宋" w:eastAsia="仿宋_GB2312" w:cs="宋体"/>
          <w:sz w:val="32"/>
          <w:szCs w:val="32"/>
        </w:rPr>
        <w:t>项目背景及立项依据</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随着我国老龄化程度的日趋加深，老年人生活也逐渐受到社会广泛关注，离退休干部是老年人的特殊群体，他们有坚定的政治立场，深厚的群众基础，丰富的人生阅历和工作经验，充分发掘利用这些优势，为党和社会增添正能量具有十分重要的意义。</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本项目的实施</w:t>
      </w:r>
      <w:r>
        <w:rPr>
          <w:rFonts w:hint="eastAsia" w:ascii="仿宋_GB2312" w:hAnsi="宋体" w:eastAsia="仿宋_GB2312" w:cs="宋体"/>
          <w:kern w:val="0"/>
          <w:sz w:val="32"/>
          <w:szCs w:val="32"/>
        </w:rPr>
        <w:t>组织老干部进行有益身心健康的文体活动，丰富老干部的活动内容，提高老干部的活动兴趣，活跃老干部的文化生活。</w:t>
      </w:r>
    </w:p>
    <w:p>
      <w:pPr>
        <w:pStyle w:val="21"/>
        <w:numPr>
          <w:ilvl w:val="0"/>
          <w:numId w:val="3"/>
        </w:numPr>
        <w:spacing w:line="560" w:lineRule="exact"/>
        <w:ind w:left="0" w:firstLine="640"/>
        <w:rPr>
          <w:rFonts w:ascii="仿宋_GB2312" w:hAnsi="仿宋" w:eastAsia="仿宋_GB2312" w:cs="宋体"/>
          <w:sz w:val="32"/>
          <w:szCs w:val="32"/>
        </w:rPr>
      </w:pPr>
      <w:r>
        <w:rPr>
          <w:rFonts w:hint="eastAsia" w:ascii="仿宋_GB2312" w:hAnsi="仿宋" w:eastAsia="仿宋_GB2312" w:cs="宋体"/>
          <w:sz w:val="32"/>
          <w:szCs w:val="32"/>
        </w:rPr>
        <w:t>项目主要内容及实施情况</w:t>
      </w:r>
    </w:p>
    <w:p>
      <w:pPr>
        <w:autoSpaceDE w:val="0"/>
        <w:autoSpaceDN w:val="0"/>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该项目实施主体为叶城县种子管理站。主要职能：</w:t>
      </w:r>
    </w:p>
    <w:p>
      <w:pPr>
        <w:pStyle w:val="13"/>
        <w:widowControl w:val="0"/>
        <w:shd w:val="clear" w:color="auto" w:fill="FFFFFF"/>
        <w:spacing w:line="560" w:lineRule="exact"/>
        <w:ind w:firstLine="640" w:firstLineChars="200"/>
        <w:rPr>
          <w:rFonts w:ascii="仿宋_GB2312" w:eastAsia="仿宋_GB2312"/>
          <w:sz w:val="32"/>
          <w:szCs w:val="32"/>
        </w:rPr>
      </w:pPr>
      <w:r>
        <w:rPr>
          <w:rFonts w:hint="eastAsia" w:ascii="仿宋_GB2312" w:eastAsia="仿宋_GB2312"/>
          <w:sz w:val="32"/>
          <w:szCs w:val="32"/>
        </w:rPr>
        <w:t>人员编制：叶城县种子管理站隶属县农业局，属参照全额拨款事业单位，具有独立的法人资格，核定全额拨款事业编制</w:t>
      </w:r>
      <w:r>
        <w:rPr>
          <w:rFonts w:ascii="仿宋_GB2312" w:eastAsia="仿宋_GB2312"/>
          <w:sz w:val="32"/>
          <w:szCs w:val="32"/>
        </w:rPr>
        <w:t>11</w:t>
      </w:r>
      <w:r>
        <w:rPr>
          <w:rFonts w:hint="eastAsia" w:ascii="仿宋_GB2312" w:eastAsia="仿宋_GB2312"/>
          <w:sz w:val="32"/>
          <w:szCs w:val="32"/>
        </w:rPr>
        <w:t>名。</w:t>
      </w:r>
    </w:p>
    <w:p>
      <w:pPr>
        <w:pStyle w:val="13"/>
        <w:widowControl w:val="0"/>
        <w:shd w:val="clear" w:color="auto" w:fill="FFFFFF"/>
        <w:spacing w:line="560" w:lineRule="exact"/>
        <w:ind w:firstLine="640" w:firstLineChars="200"/>
        <w:rPr>
          <w:rFonts w:ascii="仿宋_GB2312" w:eastAsia="仿宋_GB2312"/>
          <w:sz w:val="32"/>
          <w:szCs w:val="32"/>
        </w:rPr>
      </w:pPr>
      <w:r>
        <w:rPr>
          <w:rFonts w:hint="eastAsia" w:ascii="仿宋_GB2312" w:eastAsia="仿宋_GB2312"/>
          <w:sz w:val="32"/>
          <w:szCs w:val="32"/>
        </w:rPr>
        <w:t>叶城县种子管理站主要职能包括：为了促进农业生产更好的发展我站主要职能是以农作物新品种区域试验示范、农作物种子质量监督管理全县范围的种子执法监督体系为指导。</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项目主要内容：主要用于组织离退休人员政治学习、订阅报刊、杂志、开展文体活动及庆祝活动、参观等。</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3.项目负责人及职责</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项目负责人为范勇，主要职责为在项目前期进行可行性研究，指导并监督部门工作安排，制定方案并严格按照该方案指导财务人员进行工作，确保该项目目标实现。</w:t>
      </w:r>
    </w:p>
    <w:p>
      <w:pPr>
        <w:pStyle w:val="27"/>
        <w:spacing w:before="0" w:after="0" w:line="560" w:lineRule="exact"/>
        <w:ind w:left="0" w:firstLine="643" w:firstLineChars="200"/>
      </w:pPr>
      <w:bookmarkStart w:id="1" w:name="_Toc26401550"/>
      <w:r>
        <w:rPr>
          <w:rFonts w:hint="eastAsia"/>
        </w:rPr>
        <w:t>资金</w:t>
      </w:r>
      <w:bookmarkEnd w:id="1"/>
      <w:r>
        <w:rPr>
          <w:rFonts w:hint="eastAsia"/>
        </w:rPr>
        <w:t>投入和使用情况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1.预算金额</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该项目年初预算批复金额为0.27万元。</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2.预算来源</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该项目预算来源为一般公共预算资金，2019年实际到位资金0.27万元，资金到位率 100.00%。</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3.项目实施起止时间</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本项目计划实施起止时间 2019 年 1 月-2019 年 12 月</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实际实施起止时间为 2019年 1 月—2019 年12 月</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4.预算执行情况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项目实际支出0.27万元，预算执行率为100%，主要用于购买慰问老干部的物品，开展宣传及其他活动的经费。</w:t>
      </w:r>
    </w:p>
    <w:p>
      <w:pPr>
        <w:numPr>
          <w:ilvl w:val="0"/>
          <w:numId w:val="4"/>
        </w:num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资金的使用制度</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该项目实施严格执行资金管理办法和财政资金管理制度，《退休老干部管理办法》，严格按照项目实施方案稳步推进工作，保证项目高质量、高标准完成。</w:t>
      </w:r>
    </w:p>
    <w:p>
      <w:pPr>
        <w:pStyle w:val="27"/>
        <w:spacing w:before="0" w:after="0" w:line="560" w:lineRule="exact"/>
        <w:ind w:left="0" w:firstLine="643" w:firstLineChars="200"/>
      </w:pPr>
      <w:bookmarkStart w:id="2" w:name="_Toc26401551"/>
      <w:r>
        <w:rPr>
          <w:rFonts w:hint="eastAsia"/>
        </w:rPr>
        <w:t>绩效目标</w:t>
      </w:r>
      <w:bookmarkEnd w:id="2"/>
    </w:p>
    <w:p>
      <w:pPr>
        <w:spacing w:line="560" w:lineRule="exact"/>
        <w:ind w:firstLine="640" w:firstLineChars="200"/>
        <w:rPr>
          <w:highlight w:val="yellow"/>
        </w:rPr>
      </w:pPr>
      <w:r>
        <w:rPr>
          <w:rFonts w:hint="eastAsia" w:ascii="仿宋_GB2312" w:hAnsi="仿宋" w:eastAsia="仿宋_GB2312" w:cs="宋体"/>
          <w:sz w:val="32"/>
          <w:szCs w:val="32"/>
        </w:rPr>
        <w:t xml:space="preserve"> 通过慰问老干部，积极开展老年文体活动，不断丰富老干部精神文化生活，增加对退休老干部的关心关爱，切实保障老干部的待遇，全年内进行慰问若次，做宣传，交流了解退休干部家庭情况，加强对党感恩意识。</w:t>
      </w:r>
    </w:p>
    <w:p>
      <w:pPr>
        <w:pStyle w:val="25"/>
        <w:numPr>
          <w:ilvl w:val="0"/>
          <w:numId w:val="2"/>
        </w:numPr>
        <w:spacing w:before="0" w:after="0" w:line="560" w:lineRule="exact"/>
        <w:ind w:left="0" w:firstLine="643"/>
      </w:pPr>
      <w:bookmarkStart w:id="3" w:name="_Toc26401552"/>
      <w:r>
        <w:rPr>
          <w:rFonts w:hint="eastAsia"/>
        </w:rPr>
        <w:t>评价工作简述</w:t>
      </w:r>
      <w:bookmarkEnd w:id="3"/>
    </w:p>
    <w:p>
      <w:pPr>
        <w:pStyle w:val="27"/>
        <w:numPr>
          <w:ilvl w:val="0"/>
          <w:numId w:val="5"/>
        </w:numPr>
        <w:spacing w:before="0" w:after="0" w:line="560" w:lineRule="exact"/>
        <w:ind w:left="0" w:firstLine="643" w:firstLineChars="200"/>
      </w:pPr>
      <w:bookmarkStart w:id="4" w:name="_Toc26401553"/>
      <w:r>
        <w:rPr>
          <w:rFonts w:hint="eastAsia"/>
        </w:rPr>
        <w:t>评价目的</w:t>
      </w:r>
      <w:bookmarkEnd w:id="4"/>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项目为财政支出绩效评价,是通过对该项目决策、项目管理和项目绩效作出评定,全面了解财政预算资金支出安排情况、资金实际使用状况和项目的绩效,帮助健全和完善科学的、符合实际情况的项目绩效目标,肯定取得的成绩,提出存在的问题,给出相应的建议,以而保证项目的持续开展,推进财政绩效预算工作的顺利实施，根据老干部的特点出发，创新活动载体，改进活动方式，把政治性、思想性和科学性、知识性结合起来，广泛组织开展文娱活动，满足老干部多样化的精神文化需求。</w:t>
      </w:r>
    </w:p>
    <w:p>
      <w:pPr>
        <w:pStyle w:val="27"/>
        <w:numPr>
          <w:ilvl w:val="0"/>
          <w:numId w:val="5"/>
        </w:numPr>
        <w:spacing w:before="0" w:after="0" w:line="560" w:lineRule="exact"/>
        <w:ind w:left="0" w:firstLine="643" w:firstLineChars="200"/>
      </w:pPr>
      <w:r>
        <w:rPr>
          <w:rFonts w:hint="eastAsia"/>
        </w:rPr>
        <w:t>本次绩效评价的对象及范围</w:t>
      </w:r>
      <w:bookmarkStart w:id="5" w:name="_Toc26401554"/>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项目资金0.27万元，资金到位率为100%。资金来源为一般公共预算资金。进一步激励了老干部生活、服务的积极性，有效加强老干部的幸福感及归属感，使他们觉得退休不退责任，退休也能服务群众。</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1.资金使用范围：</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按照国库集中支付原则，根据开展老干部活动的实际情况，进行申请拨付资金。</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2.项目实施及管理情况：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按照“行政主导、部门合作、科学决策”的原则，推进规划科学民主决策，健全乡镇规划编制、实施管理和监督检查机制，严格规划审批和监督。落实规划稽查制度和责任追究制度，切实维护规划的权威性和严肃性。</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该项目不存在调整情况。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项目严格遵守相关法律法规和业务管理规定，对项目各项资料整理并及时归档。不定期对项目进行督导检查，对检查过程中发现的问题及时督促整改。还应加强项目财务收支管理，节约财务支出，建立严格的财务管理制度。对工作过程中产生的问题，落实稽查制度和责任追究制度，采用公平公正公开的原则，积极整改并接受大众社会监督。确保财政资金支出有据、有效，项目完成高质量。</w:t>
      </w:r>
    </w:p>
    <w:p>
      <w:pPr>
        <w:pStyle w:val="27"/>
        <w:numPr>
          <w:ilvl w:val="0"/>
          <w:numId w:val="5"/>
        </w:numPr>
        <w:spacing w:before="0" w:after="0" w:line="560" w:lineRule="exact"/>
        <w:ind w:left="0" w:firstLine="643" w:firstLineChars="200"/>
      </w:pPr>
      <w:r>
        <w:rPr>
          <w:rFonts w:hint="eastAsia"/>
        </w:rPr>
        <w:t>绩效评价原则</w:t>
      </w:r>
      <w:bookmarkEnd w:id="5"/>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本次绩效评价遵循的原则包括：</w:t>
      </w:r>
    </w:p>
    <w:p>
      <w:pPr>
        <w:pStyle w:val="27"/>
        <w:keepNext w:val="0"/>
        <w:keepLines w:val="0"/>
        <w:numPr>
          <w:ilvl w:val="1"/>
          <w:numId w:val="6"/>
        </w:numPr>
        <w:spacing w:before="0" w:after="0" w:line="560" w:lineRule="exact"/>
        <w:ind w:left="0" w:firstLine="640" w:firstLineChars="200"/>
        <w:rPr>
          <w:rFonts w:hAnsi="仿宋" w:cs="宋体"/>
          <w:b w:val="0"/>
        </w:rPr>
      </w:pPr>
      <w:r>
        <w:rPr>
          <w:rFonts w:hint="eastAsia" w:hAnsi="仿宋" w:cs="宋体"/>
          <w:b w:val="0"/>
        </w:rPr>
        <w:t>科学公正。绩效评价应当运用科学合理的方法，按照规范的程序，对项目绩效进行客观、公正的反映。</w:t>
      </w:r>
    </w:p>
    <w:p>
      <w:pPr>
        <w:pStyle w:val="27"/>
        <w:keepNext w:val="0"/>
        <w:keepLines w:val="0"/>
        <w:numPr>
          <w:ilvl w:val="1"/>
          <w:numId w:val="6"/>
        </w:numPr>
        <w:spacing w:before="0" w:after="0" w:line="560" w:lineRule="exact"/>
        <w:ind w:left="0" w:firstLine="640" w:firstLineChars="200"/>
        <w:rPr>
          <w:rFonts w:hAnsi="仿宋" w:cs="宋体"/>
          <w:b w:val="0"/>
        </w:rPr>
      </w:pPr>
      <w:r>
        <w:rPr>
          <w:rFonts w:hint="eastAsia" w:hAnsi="仿宋" w:cs="宋体"/>
          <w:b w:val="0"/>
        </w:rPr>
        <w:t>统筹兼顾。单位自评、部门评价和财政评价应职责明确，各有侧重，相互衔接。单位自评应由项目单位自主实施，即“谁支出、谁自评”。部门评价和财政评价应在单位自评的基础上开展。</w:t>
      </w:r>
    </w:p>
    <w:p>
      <w:pPr>
        <w:pStyle w:val="27"/>
        <w:keepNext w:val="0"/>
        <w:keepLines w:val="0"/>
        <w:numPr>
          <w:ilvl w:val="1"/>
          <w:numId w:val="6"/>
        </w:numPr>
        <w:spacing w:before="0" w:after="0" w:line="560" w:lineRule="exact"/>
        <w:ind w:left="0" w:firstLine="640" w:firstLineChars="200"/>
        <w:rPr>
          <w:rFonts w:hAnsi="仿宋" w:cs="宋体"/>
          <w:b w:val="0"/>
        </w:rPr>
      </w:pPr>
      <w:r>
        <w:rPr>
          <w:rFonts w:hint="eastAsia" w:hAnsi="仿宋" w:cs="宋体"/>
          <w:b w:val="0"/>
        </w:rPr>
        <w:t>激励约束。绩效评价结果应与预算安排、政策调整、改进管理实质性挂钩，体现奖优罚劣和激励相容导向，有效要安排、低效要压减、无效要问责。</w:t>
      </w:r>
    </w:p>
    <w:p>
      <w:pPr>
        <w:pStyle w:val="27"/>
        <w:keepNext w:val="0"/>
        <w:keepLines w:val="0"/>
        <w:numPr>
          <w:ilvl w:val="1"/>
          <w:numId w:val="6"/>
        </w:numPr>
        <w:spacing w:before="0" w:after="0" w:line="560" w:lineRule="exact"/>
        <w:ind w:left="0" w:firstLine="640" w:firstLineChars="200"/>
        <w:rPr>
          <w:b w:val="0"/>
        </w:rPr>
      </w:pPr>
      <w:r>
        <w:rPr>
          <w:rFonts w:hint="eastAsia" w:hAnsi="仿宋" w:cs="宋体"/>
          <w:b w:val="0"/>
        </w:rPr>
        <w:t>公开透明。绩效评价结果应依法依规公开，并自觉接受社会监督。</w:t>
      </w:r>
    </w:p>
    <w:p>
      <w:pPr>
        <w:pStyle w:val="27"/>
        <w:numPr>
          <w:ilvl w:val="0"/>
          <w:numId w:val="5"/>
        </w:numPr>
        <w:spacing w:before="0" w:after="0" w:line="560" w:lineRule="exact"/>
        <w:ind w:left="0" w:firstLine="643" w:firstLineChars="200"/>
      </w:pPr>
      <w:r>
        <w:rPr>
          <w:rFonts w:hint="eastAsia"/>
        </w:rPr>
        <w:t>本项目绩效评价体系</w:t>
      </w:r>
    </w:p>
    <w:p>
      <w:pPr>
        <w:pStyle w:val="27"/>
        <w:numPr>
          <w:ilvl w:val="0"/>
          <w:numId w:val="0"/>
        </w:numPr>
        <w:spacing w:before="0" w:after="0" w:line="560" w:lineRule="exact"/>
        <w:ind w:firstLine="640" w:firstLineChars="200"/>
        <w:rPr>
          <w:b w:val="0"/>
        </w:rPr>
      </w:pPr>
      <w:r>
        <w:rPr>
          <w:rFonts w:hint="eastAsia"/>
          <w:b w:val="0"/>
        </w:rPr>
        <w:t>本项目绩效评价体系为根据财预</w:t>
      </w:r>
      <w:r>
        <w:rPr>
          <w:rFonts w:hint="eastAsia" w:ascii="仿宋" w:hAnsi="仿宋" w:eastAsia="仿宋"/>
          <w:b w:val="0"/>
        </w:rPr>
        <w:t>﹝</w:t>
      </w:r>
      <w:r>
        <w:rPr>
          <w:rFonts w:hint="eastAsia"/>
          <w:b w:val="0"/>
        </w:rPr>
        <w:t>2</w:t>
      </w:r>
      <w:r>
        <w:rPr>
          <w:b w:val="0"/>
        </w:rPr>
        <w:t>020</w:t>
      </w:r>
      <w:r>
        <w:rPr>
          <w:rFonts w:hint="eastAsia" w:ascii="仿宋" w:hAnsi="仿宋" w:eastAsia="仿宋"/>
          <w:b w:val="0"/>
        </w:rPr>
        <w:t>﹞</w:t>
      </w:r>
      <w:r>
        <w:rPr>
          <w:rFonts w:hint="eastAsia"/>
          <w:b w:val="0"/>
        </w:rPr>
        <w:t>1</w:t>
      </w:r>
      <w:r>
        <w:rPr>
          <w:b w:val="0"/>
        </w:rPr>
        <w:t>0</w:t>
      </w:r>
      <w:r>
        <w:rPr>
          <w:rFonts w:hint="eastAsia"/>
          <w:b w:val="0"/>
        </w:rPr>
        <w:t>号共性指标及个性化指标设置，详见附件2。</w:t>
      </w:r>
    </w:p>
    <w:p>
      <w:pPr>
        <w:pStyle w:val="27"/>
        <w:keepNext w:val="0"/>
        <w:keepLines w:val="0"/>
        <w:numPr>
          <w:ilvl w:val="0"/>
          <w:numId w:val="5"/>
        </w:numPr>
        <w:spacing w:before="0" w:after="0" w:line="560" w:lineRule="exact"/>
        <w:ind w:left="0" w:firstLine="643" w:firstLineChars="200"/>
      </w:pPr>
      <w:bookmarkStart w:id="6" w:name="_Toc26401555"/>
      <w:r>
        <w:rPr>
          <w:rFonts w:hint="eastAsia"/>
        </w:rPr>
        <w:t>绩效评价方法</w:t>
      </w:r>
      <w:bookmarkEnd w:id="6"/>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（1）数据采集方法及过程</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项目主要采用查阅相关文件政策、会计凭证等资料，发放数据统计表格，以填报的方式采集项目资金支出情况、项目完成情况及项目成本构成等数据资料；并通过访谈、社会调查掌握具体情况，对采集的数据做详细的分析和统计。</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（2）资金使用情况检查方法及过程</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项目资金使用情况进行检查，不存在截留、挪用财政专项资金的情况；资金支付审批情况合规；资金支付所需材料齐备；不存在擅自改变、扩大支出范围的情况；不存在擅自提高支出标准、虚列项目支出等情况。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（3）实地调研的方法</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项目评价组根据项目实施过程及指标评价需求判断，针对项目进行实地调研考察，对人员进行</w:t>
      </w:r>
      <w:r>
        <w:rPr>
          <w:rFonts w:ascii="仿宋_GB2312" w:hAnsi="仿宋" w:eastAsia="仿宋_GB2312" w:cs="宋体"/>
          <w:sz w:val="32"/>
          <w:szCs w:val="32"/>
        </w:rPr>
        <w:t>问卷调查法</w:t>
      </w:r>
      <w:r>
        <w:rPr>
          <w:rFonts w:hint="eastAsia" w:ascii="仿宋_GB2312" w:hAnsi="仿宋" w:eastAsia="仿宋_GB2312" w:cs="宋体"/>
          <w:sz w:val="32"/>
          <w:szCs w:val="32"/>
        </w:rPr>
        <w:t>，在限期内</w:t>
      </w:r>
      <w:r>
        <w:rPr>
          <w:rFonts w:ascii="仿宋_GB2312" w:hAnsi="仿宋" w:eastAsia="仿宋_GB2312" w:cs="宋体"/>
          <w:sz w:val="32"/>
          <w:szCs w:val="32"/>
        </w:rPr>
        <w:t>收集、分析调查问卷,进行评价和判断的方法。</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（4）撰写报告情况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项目评价组根据绩效评价的原理，对收集的数据汇总和分析，撰写绩效评价报告。</w:t>
      </w:r>
    </w:p>
    <w:p>
      <w:pPr>
        <w:pStyle w:val="27"/>
        <w:keepNext w:val="0"/>
        <w:keepLines w:val="0"/>
        <w:numPr>
          <w:ilvl w:val="0"/>
          <w:numId w:val="5"/>
        </w:numPr>
        <w:spacing w:before="0" w:after="0" w:line="560" w:lineRule="exact"/>
        <w:ind w:left="0" w:firstLine="643" w:firstLineChars="200"/>
      </w:pPr>
      <w:r>
        <w:rPr>
          <w:rFonts w:hint="eastAsia"/>
        </w:rPr>
        <w:t>评价标准</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计划标准:计划标准为年度预期目标退休老干部3人，人均300元，实施该项目能够提升服务水平工作积极性，已达到该标准。</w:t>
      </w:r>
    </w:p>
    <w:p>
      <w:pPr>
        <w:spacing w:line="560" w:lineRule="exact"/>
        <w:ind w:firstLine="640" w:firstLineChars="200"/>
      </w:pPr>
      <w:r>
        <w:rPr>
          <w:rFonts w:ascii="仿宋_GB2312" w:hAnsi="仿宋" w:eastAsia="仿宋_GB2312" w:cs="宋体"/>
          <w:sz w:val="32"/>
          <w:szCs w:val="32"/>
        </w:rPr>
        <w:t>历史标准:是以本地区、本部门、本单位或同类部门、单位、项目的绩效评价指标的历史数据作为样本,运用一定的统计学方法计算出各类指标的平均历史水平作为评价的标准。也可以是上年实际数、上年同期数、历史最好水平等</w:t>
      </w:r>
      <w:r>
        <w:rPr>
          <w:rFonts w:hint="eastAsia" w:ascii="仿宋_GB2312" w:hAnsi="仿宋" w:eastAsia="仿宋_GB2312" w:cs="宋体"/>
          <w:sz w:val="32"/>
          <w:szCs w:val="32"/>
        </w:rPr>
        <w:t>。</w:t>
      </w:r>
      <w:r>
        <w:rPr>
          <w:rFonts w:ascii="仿宋_GB2312" w:hAnsi="仿宋" w:eastAsia="仿宋_GB2312" w:cs="宋体"/>
          <w:sz w:val="32"/>
          <w:szCs w:val="32"/>
        </w:rPr>
        <w:t>由于历史标准有较强的客观性,在实际操作中广泛应用</w:t>
      </w:r>
      <w:r>
        <w:rPr>
          <w:rFonts w:hint="eastAsia" w:ascii="仿宋_GB2312" w:hAnsi="仿宋" w:eastAsia="仿宋_GB2312" w:cs="宋体"/>
          <w:sz w:val="32"/>
          <w:szCs w:val="32"/>
        </w:rPr>
        <w:t>。</w:t>
      </w:r>
    </w:p>
    <w:p>
      <w:pPr>
        <w:pStyle w:val="27"/>
        <w:keepNext w:val="0"/>
        <w:keepLines w:val="0"/>
        <w:numPr>
          <w:ilvl w:val="0"/>
          <w:numId w:val="5"/>
        </w:numPr>
        <w:spacing w:before="0" w:after="0" w:line="560" w:lineRule="exact"/>
        <w:ind w:left="0" w:firstLine="643" w:firstLineChars="200"/>
      </w:pPr>
      <w:r>
        <w:rPr>
          <w:rFonts w:hint="eastAsia"/>
        </w:rPr>
        <w:t>绩效评价工作过程</w:t>
      </w:r>
    </w:p>
    <w:p>
      <w:pPr>
        <w:pStyle w:val="27"/>
        <w:keepNext w:val="0"/>
        <w:keepLines w:val="0"/>
        <w:numPr>
          <w:ilvl w:val="0"/>
          <w:numId w:val="0"/>
        </w:numPr>
        <w:spacing w:before="0" w:after="0" w:line="560" w:lineRule="exact"/>
        <w:ind w:firstLine="640" w:firstLineChars="200"/>
        <w:outlineLvl w:val="9"/>
        <w:rPr>
          <w:b w:val="0"/>
          <w:bCs w:val="0"/>
        </w:rPr>
      </w:pPr>
      <w:r>
        <w:rPr>
          <w:rFonts w:hint="eastAsia"/>
          <w:b w:val="0"/>
          <w:bCs w:val="0"/>
        </w:rPr>
        <w:t>本次评价成立了评价工作组，成员如下：</w:t>
      </w:r>
    </w:p>
    <w:tbl>
      <w:tblPr>
        <w:tblStyle w:val="15"/>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65" w:type="dxa"/>
            <w:vAlign w:val="center"/>
          </w:tcPr>
          <w:p>
            <w:pPr>
              <w:pStyle w:val="27"/>
              <w:keepNext w:val="0"/>
              <w:keepLines w:val="0"/>
              <w:numPr>
                <w:ilvl w:val="0"/>
                <w:numId w:val="0"/>
              </w:numPr>
              <w:spacing w:line="240" w:lineRule="atLeast"/>
              <w:jc w:val="center"/>
              <w:rPr>
                <w:b w:val="0"/>
                <w:bCs w:val="0"/>
              </w:rPr>
            </w:pPr>
            <w:r>
              <w:rPr>
                <w:rFonts w:hint="eastAsia"/>
                <w:b w:val="0"/>
                <w:bCs w:val="0"/>
              </w:rPr>
              <w:t>评价人</w:t>
            </w:r>
          </w:p>
        </w:tc>
        <w:tc>
          <w:tcPr>
            <w:tcW w:w="2765" w:type="dxa"/>
            <w:vAlign w:val="center"/>
          </w:tcPr>
          <w:p>
            <w:pPr>
              <w:pStyle w:val="27"/>
              <w:keepNext w:val="0"/>
              <w:keepLines w:val="0"/>
              <w:numPr>
                <w:ilvl w:val="0"/>
                <w:numId w:val="0"/>
              </w:numPr>
              <w:spacing w:line="240" w:lineRule="atLeast"/>
              <w:jc w:val="center"/>
              <w:rPr>
                <w:b w:val="0"/>
                <w:bCs w:val="0"/>
              </w:rPr>
            </w:pPr>
            <w:r>
              <w:rPr>
                <w:rFonts w:hint="eastAsia"/>
                <w:b w:val="0"/>
                <w:bCs w:val="0"/>
              </w:rPr>
              <w:t>职责</w:t>
            </w:r>
          </w:p>
        </w:tc>
        <w:tc>
          <w:tcPr>
            <w:tcW w:w="2766" w:type="dxa"/>
            <w:vAlign w:val="center"/>
          </w:tcPr>
          <w:p>
            <w:pPr>
              <w:pStyle w:val="27"/>
              <w:keepNext w:val="0"/>
              <w:keepLines w:val="0"/>
              <w:numPr>
                <w:ilvl w:val="0"/>
                <w:numId w:val="0"/>
              </w:numPr>
              <w:spacing w:line="240" w:lineRule="atLeast"/>
              <w:jc w:val="center"/>
              <w:rPr>
                <w:b w:val="0"/>
                <w:bCs w:val="0"/>
              </w:rPr>
            </w:pPr>
            <w:r>
              <w:rPr>
                <w:rFonts w:hint="eastAsia"/>
                <w:b w:val="0"/>
                <w:bCs w:val="0"/>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65" w:type="dxa"/>
            <w:vAlign w:val="center"/>
          </w:tcPr>
          <w:p>
            <w:pPr>
              <w:pStyle w:val="27"/>
              <w:keepNext w:val="0"/>
              <w:keepLines w:val="0"/>
              <w:numPr>
                <w:ilvl w:val="0"/>
                <w:numId w:val="0"/>
              </w:numPr>
              <w:spacing w:line="240" w:lineRule="atLeast"/>
              <w:jc w:val="center"/>
              <w:rPr>
                <w:b w:val="0"/>
                <w:bCs w:val="0"/>
              </w:rPr>
            </w:pPr>
            <w:r>
              <w:rPr>
                <w:rFonts w:hint="eastAsia"/>
                <w:b w:val="0"/>
                <w:bCs w:val="0"/>
              </w:rPr>
              <w:t>范勇</w:t>
            </w:r>
          </w:p>
        </w:tc>
        <w:tc>
          <w:tcPr>
            <w:tcW w:w="2765" w:type="dxa"/>
            <w:vAlign w:val="center"/>
          </w:tcPr>
          <w:p>
            <w:pPr>
              <w:pStyle w:val="27"/>
              <w:keepNext w:val="0"/>
              <w:keepLines w:val="0"/>
              <w:numPr>
                <w:ilvl w:val="0"/>
                <w:numId w:val="0"/>
              </w:numPr>
              <w:spacing w:line="240" w:lineRule="atLeast"/>
              <w:jc w:val="center"/>
              <w:rPr>
                <w:b w:val="0"/>
                <w:bCs w:val="0"/>
              </w:rPr>
            </w:pPr>
            <w:r>
              <w:rPr>
                <w:rFonts w:hint="eastAsia"/>
                <w:b w:val="0"/>
                <w:bCs w:val="0"/>
              </w:rPr>
              <w:t>评价组组长</w:t>
            </w:r>
          </w:p>
        </w:tc>
        <w:tc>
          <w:tcPr>
            <w:tcW w:w="2766" w:type="dxa"/>
            <w:vAlign w:val="center"/>
          </w:tcPr>
          <w:p>
            <w:pPr>
              <w:pStyle w:val="27"/>
              <w:keepNext w:val="0"/>
              <w:keepLines w:val="0"/>
              <w:numPr>
                <w:ilvl w:val="0"/>
                <w:numId w:val="0"/>
              </w:numPr>
              <w:spacing w:line="240" w:lineRule="atLeast"/>
              <w:jc w:val="center"/>
              <w:rPr>
                <w:b w:val="0"/>
                <w:bCs w:val="0"/>
              </w:rPr>
            </w:pPr>
            <w:r>
              <w:rPr>
                <w:rFonts w:hint="eastAsia"/>
                <w:b w:val="0"/>
                <w:bCs w:val="0"/>
              </w:rPr>
              <w:t>局领导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65" w:type="dxa"/>
            <w:vAlign w:val="center"/>
          </w:tcPr>
          <w:p>
            <w:pPr>
              <w:pStyle w:val="27"/>
              <w:keepNext w:val="0"/>
              <w:keepLines w:val="0"/>
              <w:numPr>
                <w:ilvl w:val="0"/>
                <w:numId w:val="0"/>
              </w:numPr>
              <w:spacing w:line="240" w:lineRule="atLeast"/>
              <w:jc w:val="center"/>
              <w:rPr>
                <w:b w:val="0"/>
                <w:bCs w:val="0"/>
              </w:rPr>
            </w:pPr>
            <w:r>
              <w:rPr>
                <w:rFonts w:hint="eastAsia"/>
                <w:b w:val="0"/>
                <w:bCs w:val="0"/>
              </w:rPr>
              <w:t>阿力木江</w:t>
            </w:r>
          </w:p>
        </w:tc>
        <w:tc>
          <w:tcPr>
            <w:tcW w:w="2765" w:type="dxa"/>
            <w:vAlign w:val="center"/>
          </w:tcPr>
          <w:p>
            <w:pPr>
              <w:pStyle w:val="27"/>
              <w:keepNext w:val="0"/>
              <w:keepLines w:val="0"/>
              <w:numPr>
                <w:ilvl w:val="0"/>
                <w:numId w:val="0"/>
              </w:numPr>
              <w:spacing w:line="240" w:lineRule="atLeast"/>
              <w:jc w:val="center"/>
              <w:rPr>
                <w:b w:val="0"/>
                <w:bCs w:val="0"/>
              </w:rPr>
            </w:pPr>
            <w:r>
              <w:rPr>
                <w:rFonts w:hint="eastAsia"/>
                <w:b w:val="0"/>
                <w:bCs w:val="0"/>
              </w:rPr>
              <w:t>评价组成员</w:t>
            </w:r>
          </w:p>
        </w:tc>
        <w:tc>
          <w:tcPr>
            <w:tcW w:w="2766" w:type="dxa"/>
            <w:vAlign w:val="center"/>
          </w:tcPr>
          <w:p>
            <w:pPr>
              <w:pStyle w:val="27"/>
              <w:keepNext w:val="0"/>
              <w:keepLines w:val="0"/>
              <w:numPr>
                <w:ilvl w:val="0"/>
                <w:numId w:val="0"/>
              </w:numPr>
              <w:spacing w:line="240" w:lineRule="atLeast"/>
              <w:jc w:val="center"/>
              <w:rPr>
                <w:b w:val="0"/>
                <w:bCs w:val="0"/>
              </w:rPr>
            </w:pPr>
            <w:r>
              <w:rPr>
                <w:rFonts w:hint="eastAsia"/>
                <w:b w:val="0"/>
                <w:bCs w:val="0"/>
              </w:rPr>
              <w:t>财务</w:t>
            </w:r>
          </w:p>
        </w:tc>
      </w:tr>
    </w:tbl>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次评价从绩效目标分析、项目管理评价分析、项目产出及效果分析等三个维度实施评价，主要针对项目的目标明确性、目标合理性和目标细化程度进行分析、项目资金使用及管理情况、项目组织情况、项目管理情况和项目经济性、效率性和效益性进行分析。</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本项目绩效评价工作共分五个步骤。　　</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第一阶段，前期准备。主要完成确定评价工作任务，绩效评价的实施方法以及编制绩效评价指标体系等工作。　　</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第二阶段，评价设计。主要完成形成评价实施方案、项目支出的预评价等工作。　　</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第三阶段，评价实施。主要完成资料的收集、整理，现场分析与绩效评价，形成评估结论、经验教训和建议等工作。　　</w:t>
      </w:r>
    </w:p>
    <w:p>
      <w:pPr>
        <w:spacing w:line="560" w:lineRule="exact"/>
        <w:ind w:firstLine="640" w:firstLineChars="200"/>
        <w:rPr>
          <w:rFonts w:ascii="仿宋_GB2312" w:hAnsi="仿宋" w:eastAsia="仿宋_GB2312" w:cs="宋体"/>
          <w:sz w:val="32"/>
          <w:szCs w:val="32"/>
        </w:rPr>
      </w:pPr>
      <w:r>
        <w:rPr>
          <w:rFonts w:ascii="仿宋_GB2312" w:hAnsi="仿宋" w:eastAsia="仿宋_GB2312" w:cs="宋体"/>
          <w:sz w:val="32"/>
          <w:szCs w:val="32"/>
        </w:rPr>
        <w:t>数据分析及撰写报告</w:t>
      </w:r>
    </w:p>
    <w:p>
      <w:pPr>
        <w:spacing w:line="560" w:lineRule="exact"/>
        <w:ind w:firstLine="640" w:firstLineChars="200"/>
        <w:rPr>
          <w:rFonts w:ascii="仿宋_GB2312" w:hAnsi="仿宋" w:eastAsia="仿宋_GB2312" w:cs="宋体"/>
          <w:sz w:val="32"/>
          <w:szCs w:val="32"/>
        </w:rPr>
      </w:pPr>
      <w:r>
        <w:rPr>
          <w:rFonts w:ascii="仿宋_GB2312" w:hAnsi="仿宋" w:eastAsia="仿宋_GB2312" w:cs="宋体"/>
          <w:sz w:val="32"/>
          <w:szCs w:val="32"/>
        </w:rPr>
        <w:t>20</w:t>
      </w:r>
      <w:r>
        <w:rPr>
          <w:rFonts w:hint="eastAsia" w:ascii="仿宋_GB2312" w:hAnsi="仿宋" w:eastAsia="仿宋_GB2312" w:cs="宋体"/>
          <w:sz w:val="32"/>
          <w:szCs w:val="32"/>
        </w:rPr>
        <w:t>20年3月30日</w:t>
      </w:r>
      <w:r>
        <w:rPr>
          <w:rFonts w:ascii="仿宋_GB2312" w:hAnsi="仿宋" w:eastAsia="仿宋_GB2312" w:cs="宋体"/>
          <w:sz w:val="32"/>
          <w:szCs w:val="32"/>
        </w:rPr>
        <w:t>，项目组根据绩效评价的原理和规范，对采集的数据进行处理、分析和评分，并提炼结论撰写报告。</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第四阶段，报告结果。在完成绩效评价报告编制的基础上，形成绩效评价终稿的工作。　　</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第五阶段，将绩效评价的经验总结与管理建议推广到相关行业或部门</w:t>
      </w:r>
    </w:p>
    <w:p>
      <w:pPr>
        <w:pStyle w:val="25"/>
        <w:numPr>
          <w:ilvl w:val="0"/>
          <w:numId w:val="2"/>
        </w:numPr>
        <w:spacing w:before="0" w:after="0" w:line="560" w:lineRule="exact"/>
        <w:ind w:left="0" w:firstLine="643"/>
      </w:pPr>
      <w:bookmarkStart w:id="7" w:name="_Toc26401558"/>
      <w:r>
        <w:rPr>
          <w:rFonts w:hint="eastAsia"/>
        </w:rPr>
        <w:t>综合评价情况及评价结论</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经评价组通过实地调研、资料分析等方式，采用综合分析法、成本效益分析法、问卷调查法等对项目的决策、管理、绩效进行的综合评价分析。项目得分为95分，评价结果为优。</w:t>
      </w:r>
    </w:p>
    <w:p>
      <w:pPr>
        <w:pStyle w:val="25"/>
        <w:numPr>
          <w:ilvl w:val="0"/>
          <w:numId w:val="2"/>
        </w:numPr>
        <w:spacing w:before="0" w:after="0" w:line="560" w:lineRule="exact"/>
        <w:ind w:left="0" w:firstLine="643"/>
      </w:pPr>
      <w:r>
        <w:rPr>
          <w:rFonts w:hint="eastAsia"/>
        </w:rPr>
        <w:t>绩效评价指标分析</w:t>
      </w:r>
      <w:bookmarkEnd w:id="7"/>
    </w:p>
    <w:p>
      <w:pPr>
        <w:pStyle w:val="21"/>
        <w:numPr>
          <w:ilvl w:val="0"/>
          <w:numId w:val="7"/>
        </w:numPr>
        <w:spacing w:line="560" w:lineRule="exact"/>
        <w:ind w:left="0" w:firstLine="643"/>
        <w:rPr>
          <w:rFonts w:ascii="仿宋_GB2312" w:hAnsi="仿宋" w:eastAsia="仿宋_GB2312" w:cs="宋体"/>
          <w:b/>
          <w:bCs/>
          <w:sz w:val="32"/>
          <w:szCs w:val="32"/>
        </w:rPr>
      </w:pPr>
      <w:r>
        <w:rPr>
          <w:rFonts w:hint="eastAsia" w:ascii="仿宋_GB2312" w:hAnsi="仿宋" w:eastAsia="仿宋_GB2312" w:cs="宋体"/>
          <w:b/>
          <w:bCs/>
          <w:sz w:val="32"/>
          <w:szCs w:val="32"/>
        </w:rPr>
        <w:t>项目的决策情况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本项目实施进一步丰富我局退休干部精神文化生活，激励我院干部提高工作能力、改进工作方法，提升服务水平工作积极性。</w:t>
      </w:r>
      <w:r>
        <w:rPr>
          <w:rFonts w:ascii="仿宋_GB2312" w:hAnsi="仿宋" w:eastAsia="仿宋_GB2312" w:cs="宋体"/>
          <w:sz w:val="32"/>
          <w:szCs w:val="32"/>
        </w:rPr>
        <w:t>项目设立与国家政策和部门职能相符。</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项目开始实施。该项目决策程序合规合法。</w:t>
      </w:r>
      <w:r>
        <w:rPr>
          <w:rFonts w:ascii="仿宋_GB2312" w:hAnsi="仿宋" w:eastAsia="仿宋_GB2312" w:cs="宋体"/>
          <w:sz w:val="32"/>
          <w:szCs w:val="32"/>
        </w:rPr>
        <w:t>该项目前期项目单位已设置了明确、量化的绩效目标，但其部分绩效指标的设置过于笼统不够细化，经评价小组与</w:t>
      </w:r>
      <w:r>
        <w:rPr>
          <w:rFonts w:hint="eastAsia" w:ascii="仿宋_GB2312" w:hAnsi="仿宋" w:eastAsia="仿宋_GB2312" w:cs="宋体"/>
          <w:sz w:val="32"/>
          <w:szCs w:val="32"/>
        </w:rPr>
        <w:t>叶城县绩效第三方进行咨询商议</w:t>
      </w:r>
      <w:r>
        <w:rPr>
          <w:rFonts w:ascii="仿宋_GB2312" w:hAnsi="仿宋" w:eastAsia="仿宋_GB2312" w:cs="宋体"/>
          <w:sz w:val="32"/>
          <w:szCs w:val="32"/>
        </w:rPr>
        <w:t>，将原有的绩效目标和绩效指标根据项目实际开展情况进一步细化，将绩效目标细分，精准设置绩效指标及准确指标值的表述，因此该项目绩效评价指标体系可明确反映项目目标</w:t>
      </w:r>
      <w:r>
        <w:rPr>
          <w:rFonts w:hint="eastAsia" w:ascii="仿宋_GB2312" w:hAnsi="仿宋" w:eastAsia="仿宋_GB2312" w:cs="宋体"/>
          <w:sz w:val="32"/>
          <w:szCs w:val="32"/>
        </w:rPr>
        <w:t>。</w:t>
      </w:r>
    </w:p>
    <w:p>
      <w:pPr>
        <w:spacing w:line="560" w:lineRule="exact"/>
        <w:ind w:firstLine="640" w:firstLineChars="200"/>
      </w:pPr>
      <w:r>
        <w:rPr>
          <w:rFonts w:ascii="仿宋_GB2312" w:hAnsi="仿宋" w:eastAsia="仿宋_GB2312" w:cs="宋体"/>
          <w:sz w:val="32"/>
          <w:szCs w:val="32"/>
        </w:rPr>
        <w:t>项目绩效评价指标体系分为 2 类指标，其中：共性指标数量为</w:t>
      </w:r>
      <w:r>
        <w:rPr>
          <w:rFonts w:hint="eastAsia" w:ascii="仿宋_GB2312" w:hAnsi="仿宋" w:eastAsia="仿宋_GB2312" w:cs="宋体"/>
          <w:sz w:val="32"/>
          <w:szCs w:val="32"/>
        </w:rPr>
        <w:t>6</w:t>
      </w:r>
      <w:r>
        <w:rPr>
          <w:rFonts w:ascii="仿宋_GB2312" w:hAnsi="仿宋" w:eastAsia="仿宋_GB2312" w:cs="宋体"/>
          <w:sz w:val="32"/>
          <w:szCs w:val="32"/>
        </w:rPr>
        <w:t xml:space="preserve"> 个，项目共性指标包括目标内容、决策依据、决策程序、预算管理、资金到位、财务管理、组织机构、制度建设、过程控制；个性指标包括该项目的数量指标、质量指标、时效指标、成本指标、社会效益指标、可持续影响指标以及满意度指标等</w:t>
      </w:r>
      <w:r>
        <w:rPr>
          <w:rFonts w:hint="eastAsia" w:ascii="仿宋_GB2312" w:hAnsi="仿宋" w:eastAsia="仿宋_GB2312" w:cs="宋体"/>
          <w:sz w:val="32"/>
          <w:szCs w:val="32"/>
        </w:rPr>
        <w:t>，共计8个</w:t>
      </w:r>
      <w:r>
        <w:rPr>
          <w:rFonts w:ascii="仿宋_GB2312" w:hAnsi="仿宋" w:eastAsia="仿宋_GB2312" w:cs="宋体"/>
          <w:sz w:val="32"/>
          <w:szCs w:val="32"/>
        </w:rPr>
        <w:t>。</w:t>
      </w:r>
    </w:p>
    <w:p>
      <w:pPr>
        <w:pStyle w:val="21"/>
        <w:numPr>
          <w:ilvl w:val="0"/>
          <w:numId w:val="7"/>
        </w:numPr>
        <w:spacing w:line="560" w:lineRule="exact"/>
        <w:ind w:left="0" w:firstLine="643"/>
        <w:rPr>
          <w:rFonts w:ascii="仿宋_GB2312" w:hAnsi="仿宋" w:eastAsia="仿宋_GB2312" w:cs="宋体"/>
          <w:b/>
          <w:bCs/>
          <w:sz w:val="32"/>
          <w:szCs w:val="32"/>
        </w:rPr>
      </w:pPr>
      <w:r>
        <w:rPr>
          <w:rFonts w:hint="eastAsia" w:ascii="仿宋_GB2312" w:hAnsi="仿宋" w:eastAsia="仿宋_GB2312" w:cs="宋体"/>
          <w:b/>
          <w:bCs/>
          <w:sz w:val="32"/>
          <w:szCs w:val="32"/>
        </w:rPr>
        <w:t>项目的过程情况</w:t>
      </w:r>
    </w:p>
    <w:p>
      <w:pPr>
        <w:numPr>
          <w:ilvl w:val="0"/>
          <w:numId w:val="8"/>
        </w:num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资金管理</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按照国库集中支付原则，及时支付资金，坚决保证资金拨付流程合理合规，有完整的审批程序和手续，不存在截留、挤占、挪用、虚列支出等情况。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（2）组织实施</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该项目预算资金安排0.27万元，项目实际使用资金0.27万元，资金按照规定制度及时支付到位。为保证资金的高效、合规使用，有效促进了退休老干部管理工作。为保证项目质量和成本控制，我单位积极与老</w:t>
      </w:r>
      <w:r>
        <w:rPr>
          <w:rFonts w:hint="eastAsia" w:ascii="仿宋_GB2312" w:hAnsi="仿宋" w:eastAsia="仿宋_GB2312" w:cs="宋体"/>
          <w:sz w:val="32"/>
          <w:szCs w:val="32"/>
          <w:lang w:eastAsia="zh-CN"/>
        </w:rPr>
        <w:t>干部</w:t>
      </w:r>
      <w:r>
        <w:rPr>
          <w:rFonts w:hint="eastAsia" w:ascii="仿宋_GB2312" w:hAnsi="仿宋" w:eastAsia="仿宋_GB2312" w:cs="宋体"/>
          <w:sz w:val="32"/>
          <w:szCs w:val="32"/>
        </w:rPr>
        <w:t>局对接，进行了老干部活动工作，制定《老干部活动工作方案》，组织我单位工作人员进行慰问工作，为保质保量完成提供了强有力的技术支撑，有效地推进了项目工作</w:t>
      </w:r>
    </w:p>
    <w:p>
      <w:pPr>
        <w:pStyle w:val="21"/>
        <w:numPr>
          <w:ilvl w:val="0"/>
          <w:numId w:val="7"/>
        </w:numPr>
        <w:spacing w:line="560" w:lineRule="exact"/>
        <w:ind w:left="0" w:firstLine="643"/>
        <w:rPr>
          <w:rFonts w:ascii="仿宋_GB2312" w:hAnsi="仿宋" w:eastAsia="仿宋_GB2312" w:cs="宋体"/>
          <w:b/>
          <w:bCs/>
          <w:sz w:val="32"/>
          <w:szCs w:val="32"/>
        </w:rPr>
      </w:pPr>
      <w:r>
        <w:rPr>
          <w:rFonts w:hint="eastAsia" w:ascii="仿宋_GB2312" w:hAnsi="仿宋" w:eastAsia="仿宋_GB2312" w:cs="宋体"/>
          <w:b/>
          <w:bCs/>
          <w:sz w:val="32"/>
          <w:szCs w:val="32"/>
        </w:rPr>
        <w:t>项目产出情况</w:t>
      </w:r>
      <w:bookmarkStart w:id="8" w:name="_GoBack"/>
      <w:bookmarkEnd w:id="8"/>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本单位退休人员9人按照人均300元标准，下达900元活动经费，本年度共计开展活动3次，主要是对老干部家入户慰问，宣传党和国家的观海，根据实际情况及时拨付资金确保活动有序开展，指标完成情况如下：</w:t>
      </w:r>
    </w:p>
    <w:tbl>
      <w:tblPr>
        <w:tblStyle w:val="14"/>
        <w:tblW w:w="8342" w:type="dxa"/>
        <w:tblInd w:w="0" w:type="dxa"/>
        <w:tblLayout w:type="fixed"/>
        <w:tblCellMar>
          <w:top w:w="15" w:type="dxa"/>
          <w:left w:w="15" w:type="dxa"/>
          <w:bottom w:w="15" w:type="dxa"/>
          <w:right w:w="15" w:type="dxa"/>
        </w:tblCellMar>
      </w:tblPr>
      <w:tblGrid>
        <w:gridCol w:w="1286"/>
        <w:gridCol w:w="1092"/>
        <w:gridCol w:w="3432"/>
        <w:gridCol w:w="1231"/>
        <w:gridCol w:w="1301"/>
      </w:tblGrid>
      <w:tr>
        <w:tblPrEx>
          <w:tblCellMar>
            <w:top w:w="15" w:type="dxa"/>
            <w:left w:w="15" w:type="dxa"/>
            <w:bottom w:w="15" w:type="dxa"/>
            <w:right w:w="15" w:type="dxa"/>
          </w:tblCellMar>
        </w:tblPrEx>
        <w:trPr>
          <w:trHeight w:val="495" w:hRule="atLeast"/>
        </w:trPr>
        <w:tc>
          <w:tcPr>
            <w:tcW w:w="12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一级指标</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二级指标</w:t>
            </w:r>
          </w:p>
        </w:tc>
        <w:tc>
          <w:tcPr>
            <w:tcW w:w="34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三级指标</w:t>
            </w:r>
          </w:p>
        </w:tc>
        <w:tc>
          <w:tcPr>
            <w:tcW w:w="1231"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年度指标值</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实际完成值</w:t>
            </w:r>
          </w:p>
        </w:tc>
      </w:tr>
      <w:tr>
        <w:tblPrEx>
          <w:tblCellMar>
            <w:top w:w="15" w:type="dxa"/>
            <w:left w:w="15" w:type="dxa"/>
            <w:bottom w:w="15" w:type="dxa"/>
            <w:right w:w="15" w:type="dxa"/>
          </w:tblCellMar>
        </w:tblPrEx>
        <w:trPr>
          <w:trHeight w:val="495" w:hRule="atLeast"/>
        </w:trPr>
        <w:tc>
          <w:tcPr>
            <w:tcW w:w="12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产出指标</w:t>
            </w:r>
          </w:p>
        </w:tc>
        <w:tc>
          <w:tcPr>
            <w:tcW w:w="10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数量指标</w:t>
            </w:r>
          </w:p>
        </w:tc>
        <w:tc>
          <w:tcPr>
            <w:tcW w:w="34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活动经费对象（人)</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9</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9</w:t>
            </w:r>
          </w:p>
        </w:tc>
      </w:tr>
      <w:tr>
        <w:tblPrEx>
          <w:tblCellMar>
            <w:top w:w="15" w:type="dxa"/>
            <w:left w:w="15" w:type="dxa"/>
            <w:bottom w:w="15" w:type="dxa"/>
            <w:right w:w="15" w:type="dxa"/>
          </w:tblCellMar>
        </w:tblPrEx>
        <w:trPr>
          <w:trHeight w:val="495" w:hRule="atLeast"/>
        </w:trPr>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4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开展活动次数（次）</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w:t>
            </w:r>
          </w:p>
        </w:tc>
      </w:tr>
      <w:tr>
        <w:tblPrEx>
          <w:tblCellMar>
            <w:top w:w="15" w:type="dxa"/>
            <w:left w:w="15" w:type="dxa"/>
            <w:bottom w:w="15" w:type="dxa"/>
            <w:right w:w="15" w:type="dxa"/>
          </w:tblCellMar>
        </w:tblPrEx>
        <w:trPr>
          <w:trHeight w:val="495" w:hRule="atLeast"/>
        </w:trPr>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质量指标</w:t>
            </w:r>
          </w:p>
        </w:tc>
        <w:tc>
          <w:tcPr>
            <w:tcW w:w="34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经费保障率（%）</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w:t>
            </w:r>
          </w:p>
        </w:tc>
      </w:tr>
      <w:tr>
        <w:tblPrEx>
          <w:tblCellMar>
            <w:top w:w="15" w:type="dxa"/>
            <w:left w:w="15" w:type="dxa"/>
            <w:bottom w:w="15" w:type="dxa"/>
            <w:right w:w="15" w:type="dxa"/>
          </w:tblCellMar>
        </w:tblPrEx>
        <w:trPr>
          <w:trHeight w:val="495" w:hRule="atLeast"/>
        </w:trPr>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时效指标</w:t>
            </w:r>
          </w:p>
        </w:tc>
        <w:tc>
          <w:tcPr>
            <w:tcW w:w="34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资金拨付及时率（%）</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w:t>
            </w:r>
          </w:p>
        </w:tc>
      </w:tr>
      <w:tr>
        <w:tblPrEx>
          <w:tblCellMar>
            <w:top w:w="15" w:type="dxa"/>
            <w:left w:w="15" w:type="dxa"/>
            <w:bottom w:w="15" w:type="dxa"/>
            <w:right w:w="15" w:type="dxa"/>
          </w:tblCellMar>
        </w:tblPrEx>
        <w:trPr>
          <w:trHeight w:val="495" w:hRule="atLeast"/>
        </w:trPr>
        <w:tc>
          <w:tcPr>
            <w:tcW w:w="12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成本指标</w:t>
            </w:r>
          </w:p>
        </w:tc>
        <w:tc>
          <w:tcPr>
            <w:tcW w:w="34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活动经费对象人均（元)</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300</w:t>
            </w:r>
          </w:p>
        </w:tc>
        <w:tc>
          <w:tcPr>
            <w:tcW w:w="13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300</w:t>
            </w:r>
          </w:p>
        </w:tc>
      </w:tr>
    </w:tbl>
    <w:p>
      <w:pPr>
        <w:pStyle w:val="21"/>
        <w:spacing w:line="560" w:lineRule="exact"/>
        <w:ind w:firstLine="0" w:firstLineChars="0"/>
        <w:rPr>
          <w:rFonts w:ascii="仿宋_GB2312" w:hAnsi="仿宋" w:eastAsia="仿宋_GB2312" w:cs="宋体"/>
          <w:b/>
          <w:bCs/>
          <w:sz w:val="32"/>
          <w:szCs w:val="32"/>
        </w:rPr>
      </w:pPr>
      <w:r>
        <w:rPr>
          <w:rFonts w:hint="eastAsia" w:ascii="仿宋_GB2312" w:hAnsi="仿宋" w:eastAsia="仿宋_GB2312" w:cs="宋体"/>
          <w:b/>
          <w:bCs/>
          <w:sz w:val="32"/>
          <w:szCs w:val="32"/>
        </w:rPr>
        <w:t>（四）项目效益情况</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项目的建设周期为12个月，持续影响范围广大且深远，该项目的实施为老干部办实事、办好事，开展老干部系列活动，为老干部送去温暖，进一步增加了老干部政策知晓率，完成情况如下：</w:t>
      </w:r>
    </w:p>
    <w:tbl>
      <w:tblPr>
        <w:tblStyle w:val="14"/>
        <w:tblW w:w="8342" w:type="dxa"/>
        <w:tblInd w:w="0" w:type="dxa"/>
        <w:tblLayout w:type="fixed"/>
        <w:tblCellMar>
          <w:top w:w="0" w:type="dxa"/>
          <w:left w:w="0" w:type="dxa"/>
          <w:bottom w:w="0" w:type="dxa"/>
          <w:right w:w="0" w:type="dxa"/>
        </w:tblCellMar>
      </w:tblPr>
      <w:tblGrid>
        <w:gridCol w:w="1303"/>
        <w:gridCol w:w="1104"/>
        <w:gridCol w:w="3474"/>
        <w:gridCol w:w="1231"/>
        <w:gridCol w:w="1230"/>
      </w:tblGrid>
      <w:tr>
        <w:tblPrEx>
          <w:tblCellMar>
            <w:top w:w="0" w:type="dxa"/>
            <w:left w:w="0" w:type="dxa"/>
            <w:bottom w:w="0" w:type="dxa"/>
            <w:right w:w="0" w:type="dxa"/>
          </w:tblCellMar>
        </w:tblPrEx>
        <w:trPr>
          <w:trHeight w:val="500" w:hRule="atLeast"/>
        </w:trPr>
        <w:tc>
          <w:tcPr>
            <w:tcW w:w="13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110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3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三级指标</w:t>
            </w: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年度指标值</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实际完成值</w:t>
            </w:r>
          </w:p>
        </w:tc>
      </w:tr>
      <w:tr>
        <w:tblPrEx>
          <w:tblCellMar>
            <w:top w:w="0" w:type="dxa"/>
            <w:left w:w="0" w:type="dxa"/>
            <w:bottom w:w="0" w:type="dxa"/>
            <w:right w:w="0" w:type="dxa"/>
          </w:tblCellMar>
        </w:tblPrEx>
        <w:trPr>
          <w:trHeight w:val="500" w:hRule="atLeast"/>
        </w:trPr>
        <w:tc>
          <w:tcPr>
            <w:tcW w:w="13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效益指标</w:t>
            </w:r>
          </w:p>
        </w:tc>
        <w:tc>
          <w:tcPr>
            <w:tcW w:w="110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经济效益指标</w:t>
            </w:r>
          </w:p>
        </w:tc>
        <w:tc>
          <w:tcPr>
            <w:tcW w:w="3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ascii="宋体" w:hAnsi="宋体" w:eastAsia="宋体" w:cs="宋体"/>
                <w:color w:val="000000"/>
                <w:sz w:val="18"/>
                <w:szCs w:val="18"/>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r>
      <w:tr>
        <w:tblPrEx>
          <w:tblCellMar>
            <w:top w:w="0" w:type="dxa"/>
            <w:left w:w="0" w:type="dxa"/>
            <w:bottom w:w="0" w:type="dxa"/>
            <w:right w:w="0" w:type="dxa"/>
          </w:tblCellMar>
        </w:tblPrEx>
        <w:trPr>
          <w:trHeight w:val="500" w:hRule="atLeast"/>
        </w:trPr>
        <w:tc>
          <w:tcPr>
            <w:tcW w:w="13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10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社会效益指标</w:t>
            </w:r>
          </w:p>
        </w:tc>
        <w:tc>
          <w:tcPr>
            <w:tcW w:w="3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政策知晓率（%）</w:t>
            </w: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100%</w:t>
            </w:r>
          </w:p>
        </w:tc>
      </w:tr>
      <w:tr>
        <w:tblPrEx>
          <w:tblCellMar>
            <w:top w:w="0" w:type="dxa"/>
            <w:left w:w="0" w:type="dxa"/>
            <w:bottom w:w="0" w:type="dxa"/>
            <w:right w:w="0" w:type="dxa"/>
          </w:tblCellMar>
        </w:tblPrEx>
        <w:trPr>
          <w:trHeight w:val="500" w:hRule="atLeast"/>
        </w:trPr>
        <w:tc>
          <w:tcPr>
            <w:tcW w:w="13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10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生态效益指标</w:t>
            </w:r>
          </w:p>
        </w:tc>
        <w:tc>
          <w:tcPr>
            <w:tcW w:w="3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ascii="宋体" w:hAnsi="宋体" w:eastAsia="宋体" w:cs="宋体"/>
                <w:color w:val="000000"/>
                <w:sz w:val="18"/>
                <w:szCs w:val="18"/>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r>
      <w:tr>
        <w:tblPrEx>
          <w:tblCellMar>
            <w:top w:w="0" w:type="dxa"/>
            <w:left w:w="0" w:type="dxa"/>
            <w:bottom w:w="0" w:type="dxa"/>
            <w:right w:w="0" w:type="dxa"/>
          </w:tblCellMar>
        </w:tblPrEx>
        <w:trPr>
          <w:trHeight w:val="500" w:hRule="atLeast"/>
        </w:trPr>
        <w:tc>
          <w:tcPr>
            <w:tcW w:w="13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18"/>
                <w:szCs w:val="18"/>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可持续影响指标</w:t>
            </w:r>
          </w:p>
        </w:tc>
        <w:tc>
          <w:tcPr>
            <w:tcW w:w="3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开展活动年限（年）</w:t>
            </w: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r>
      <w:tr>
        <w:tblPrEx>
          <w:tblCellMar>
            <w:top w:w="0" w:type="dxa"/>
            <w:left w:w="0" w:type="dxa"/>
            <w:bottom w:w="0" w:type="dxa"/>
            <w:right w:w="0" w:type="dxa"/>
          </w:tblCellMar>
        </w:tblPrEx>
        <w:trPr>
          <w:trHeight w:val="500" w:hRule="atLeast"/>
        </w:trPr>
        <w:tc>
          <w:tcPr>
            <w:tcW w:w="130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满意度指标</w:t>
            </w:r>
          </w:p>
        </w:tc>
        <w:tc>
          <w:tcPr>
            <w:tcW w:w="11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服务对象满意度指标</w:t>
            </w:r>
          </w:p>
        </w:tc>
        <w:tc>
          <w:tcPr>
            <w:tcW w:w="3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受益人员满意度（%）</w:t>
            </w: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≥95%</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95%</w:t>
            </w:r>
          </w:p>
        </w:tc>
      </w:tr>
    </w:tbl>
    <w:p>
      <w:pPr>
        <w:spacing w:line="560" w:lineRule="exact"/>
        <w:ind w:firstLine="640" w:firstLineChars="200"/>
        <w:rPr>
          <w:rFonts w:ascii="仿宋_GB2312" w:hAnsi="仿宋" w:eastAsia="仿宋_GB2312" w:cs="宋体"/>
          <w:sz w:val="32"/>
          <w:szCs w:val="32"/>
        </w:rPr>
      </w:pPr>
    </w:p>
    <w:p>
      <w:pPr>
        <w:pStyle w:val="25"/>
        <w:spacing w:before="0" w:after="0" w:line="560" w:lineRule="exact"/>
        <w:ind w:firstLine="643"/>
      </w:pPr>
      <w:r>
        <w:rPr>
          <w:rFonts w:hint="eastAsia" w:ascii="黑体" w:hAnsi="黑体"/>
        </w:rPr>
        <w:t>五、主要经验及做法、存在的问题及原因分析</w:t>
      </w:r>
    </w:p>
    <w:p>
      <w:pPr>
        <w:pStyle w:val="27"/>
        <w:numPr>
          <w:ilvl w:val="0"/>
          <w:numId w:val="9"/>
        </w:numPr>
        <w:spacing w:before="0" w:after="0" w:line="560" w:lineRule="exact"/>
        <w:ind w:left="0" w:firstLine="643" w:firstLineChars="200"/>
      </w:pPr>
      <w:r>
        <w:rPr>
          <w:rFonts w:hint="eastAsia"/>
        </w:rPr>
        <w:t>主要经验及做法</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本年度通过为老干部办实事和开展丰富精神文化的活动，进一步提升老干部生活水平，提升幸福感。</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（二）存在的问题</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1.项目的前期准备工作不严谨，本项目的缺乏立项批复、立项依据相关资料，对项目实施未进行深入分析，没有合理的项目管理计划或方案。</w:t>
      </w:r>
    </w:p>
    <w:p>
      <w:pPr>
        <w:spacing w:line="560" w:lineRule="exact"/>
        <w:ind w:firstLine="640" w:firstLineChars="200"/>
      </w:pPr>
      <w:r>
        <w:rPr>
          <w:rFonts w:hint="eastAsia" w:ascii="仿宋_GB2312" w:hAnsi="仿宋" w:eastAsia="仿宋_GB2312" w:cs="宋体"/>
          <w:sz w:val="32"/>
          <w:szCs w:val="32"/>
        </w:rPr>
        <w:t>2.项目预算绩效管理工作不健全，管理意识薄弱预算管理意识不强，管理较混乱，没有建立专门的制度。在项目进行过程中，影响项目的实施的效率及效益。</w:t>
      </w:r>
    </w:p>
    <w:p>
      <w:pPr>
        <w:pStyle w:val="25"/>
        <w:spacing w:before="0" w:after="0" w:line="560" w:lineRule="exact"/>
        <w:ind w:firstLine="643"/>
        <w:rPr>
          <w:rFonts w:ascii="黑体" w:hAnsi="黑体"/>
        </w:rPr>
      </w:pPr>
      <w:r>
        <w:rPr>
          <w:rFonts w:hint="eastAsia" w:ascii="黑体" w:hAnsi="黑体"/>
        </w:rPr>
        <w:t>六、有关建议</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无。</w:t>
      </w:r>
    </w:p>
    <w:p>
      <w:pPr>
        <w:pStyle w:val="25"/>
        <w:spacing w:before="0" w:after="0" w:line="560" w:lineRule="exact"/>
        <w:ind w:firstLine="643"/>
        <w:rPr>
          <w:rFonts w:ascii="黑体" w:hAnsi="黑体"/>
        </w:rPr>
      </w:pPr>
      <w:r>
        <w:rPr>
          <w:rFonts w:hint="eastAsia" w:ascii="黑体" w:hAnsi="黑体"/>
        </w:rPr>
        <w:t>七、其他需要说明的问题</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无其他需要说明的问题。</w:t>
      </w:r>
    </w:p>
    <w:p>
      <w:pPr>
        <w:pStyle w:val="19"/>
      </w:pPr>
    </w:p>
    <w:p>
      <w:pPr>
        <w:pStyle w:val="19"/>
      </w:pP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附件1：喀什地区叶城县种子管理站老干部活动经费项目绩效目标申报表</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附件2：喀什地区叶城县种子管理站老干部活动经费项目支出绩效自评表</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附件3：喀什地区叶城县种子管理站老干部活动经费项目支出绩效评价指标体系</w:t>
      </w:r>
    </w:p>
    <w:p>
      <w:pPr>
        <w:spacing w:line="56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附件4：喀什地区叶城县种子管理站老干部活动经费项目绩效评价依据</w:t>
      </w:r>
    </w:p>
    <w:p>
      <w:pPr>
        <w:pStyle w:val="19"/>
        <w:spacing w:after="0" w:line="560" w:lineRule="exact"/>
        <w:ind w:firstLine="640" w:firstLineChars="200"/>
      </w:pPr>
      <w:r>
        <w:rPr>
          <w:rFonts w:hint="eastAsia" w:ascii="仿宋_GB2312" w:hAnsi="仿宋" w:eastAsia="仿宋_GB2312" w:cs="宋体"/>
          <w:sz w:val="32"/>
          <w:szCs w:val="32"/>
        </w:rPr>
        <w:t>附件5：喀什地区叶城县种子管理站老干部活动经费项目支出绩效评价评分表</w:t>
      </w:r>
    </w:p>
    <w:sectPr>
      <w:headerReference r:id="rId3" w:type="default"/>
      <w:footerReference r:id="rId4" w:type="default"/>
      <w:pgSz w:w="11906" w:h="16838"/>
      <w:pgMar w:top="1440" w:right="1797" w:bottom="1440" w:left="1797" w:header="851"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等线 Light">
    <w:altName w:val="宋体"/>
    <w:panose1 w:val="00000000000000000000"/>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方正小标宋简体">
    <w:panose1 w:val="03000509000000000000"/>
    <w:charset w:val="86"/>
    <w:family w:val="auto"/>
    <w:pitch w:val="default"/>
    <w:sig w:usb0="00000001" w:usb1="080E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utoSpaceDE w:val="0"/>
      <w:autoSpaceDN w:val="0"/>
      <w:spacing w:line="14" w:lineRule="auto"/>
      <w:jc w:val="left"/>
      <w:rPr>
        <w:rFonts w:ascii="仿宋" w:hAnsi="仿宋" w:eastAsia="仿宋" w:cs="仿宋"/>
        <w:sz w:val="20"/>
        <w:szCs w:val="28"/>
        <w:lang w:val="zh-CN" w:bidi="zh-CN"/>
      </w:rPr>
    </w:pPr>
    <w:r>
      <w:rPr>
        <w:rFonts w:ascii="仿宋" w:hAnsi="仿宋" w:eastAsia="仿宋" w:cs="仿宋"/>
        <w:sz w:val="28"/>
        <w:szCs w:val="28"/>
        <w:lang w:val="zh-CN" w:bidi="zh-CN"/>
      </w:rPr>
      <w:pict>
        <v:line id="_x0000_s1026" o:spid="_x0000_s1026" o:spt="20" style="position:absolute;left:0pt;margin-left:90pt;margin-top:57.5pt;height:0pt;width:415.3pt;mso-position-horizontal-relative:page;mso-position-vertical-relative:page;z-index:-251657216;mso-width-relative:page;mso-height-relative:page;" coordsize="21600,21600" o:gfxdata="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qwAA5NQAAAAMAQAADwAAAAAAAAAB&#10;ACAAAAAiAAAAZHJzL2Rvd25yZXYueG1sUEsBAhQAFAAAAAgAh07iQLUagLvbAQAAlgMAAA4AAAAA&#10;AAAAAQAgAAAAIwEAAGRycy9lMm9Eb2MueG1sUEsFBgAAAAAGAAYAWQEAAHAFAAAAAA==&#10;">
          <v:path arrowok="t"/>
          <v:fill focussize="0,0"/>
          <v:stroke weight="0.72pt"/>
          <v:imagedata o:title=""/>
          <o:lock v:ext="edit"/>
        </v:line>
      </w:pict>
    </w:r>
    <w:r>
      <w:rPr>
        <w:rFonts w:ascii="仿宋" w:hAnsi="仿宋" w:eastAsia="仿宋" w:cs="仿宋"/>
        <w:sz w:val="28"/>
        <w:szCs w:val="28"/>
        <w:lang w:val="zh-CN" w:bidi="zh-CN"/>
      </w:rPr>
      <w:pict>
        <v:shape id="_x0000_s1027" o:spid="_x0000_s1027" o:spt="202" type="#_x0000_t202" style="position:absolute;left:0pt;margin-left:270.65pt;margin-top:43.1pt;height:12.45pt;width:236.5pt;mso-position-horizontal-relative:page;mso-position-vertical-relative:page;z-index:-251656192;mso-width-relative:page;mso-height-relative:page;" filled="f" stroked="f" coordsize="21600,21600" o:gfxdata="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FLOGZHZAAAACwEAAA8AAAAAAAAA&#10;AQAgAAAAIgAAAGRycy9kb3ducmV2LnhtbFBLAQIUABQAAAAIAIdO4kAm8LZungEAACQDAAAOAAAA&#10;AAAAAAEAIAAAACgBAABkcnMvZTJvRG9jLnhtbFBLBQYAAAAABgAGAFkBAAA4BQAAAAA=&#10;">
          <v:path/>
          <v:fill on="f" focussize="0,0"/>
          <v:stroke on="f" joinstyle="miter"/>
          <v:imagedata o:title=""/>
          <o:lock v:ext="edit"/>
          <v:textbox inset="0mm,0mm,0mm,0mm">
            <w:txbxContent>
              <w:p>
                <w:pPr>
                  <w:autoSpaceDE w:val="0"/>
                  <w:autoSpaceDN w:val="0"/>
                  <w:spacing w:line="249" w:lineRule="exact"/>
                  <w:jc w:val="left"/>
                  <w:rPr>
                    <w:rFonts w:ascii="仿宋" w:hAnsi="仿宋" w:eastAsia="仿宋" w:cs="仿宋"/>
                    <w:b/>
                    <w:kern w:val="0"/>
                    <w:szCs w:val="22"/>
                    <w:lang w:val="zh-CN" w:bidi="zh-CN"/>
                  </w:rPr>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C46A58"/>
    <w:multiLevelType w:val="singleLevel"/>
    <w:tmpl w:val="8FC46A58"/>
    <w:lvl w:ilvl="0" w:tentative="0">
      <w:start w:val="5"/>
      <w:numFmt w:val="decimal"/>
      <w:lvlText w:val="%1."/>
      <w:lvlJc w:val="left"/>
      <w:pPr>
        <w:tabs>
          <w:tab w:val="left" w:pos="312"/>
        </w:tabs>
      </w:pPr>
    </w:lvl>
  </w:abstractNum>
  <w:abstractNum w:abstractNumId="1">
    <w:nsid w:val="F5D7B307"/>
    <w:multiLevelType w:val="singleLevel"/>
    <w:tmpl w:val="F5D7B307"/>
    <w:lvl w:ilvl="0" w:tentative="0">
      <w:start w:val="1"/>
      <w:numFmt w:val="decimal"/>
      <w:suff w:val="nothing"/>
      <w:lvlText w:val="（%1）"/>
      <w:lvlJc w:val="left"/>
    </w:lvl>
  </w:abstractNum>
  <w:abstractNum w:abstractNumId="2">
    <w:nsid w:val="316D4D14"/>
    <w:multiLevelType w:val="multilevel"/>
    <w:tmpl w:val="316D4D14"/>
    <w:lvl w:ilvl="0" w:tentative="0">
      <w:start w:val="1"/>
      <w:numFmt w:val="decimal"/>
      <w:lvlText w:val="%1."/>
      <w:lvlJc w:val="left"/>
      <w:pPr>
        <w:ind w:left="988" w:hanging="420"/>
      </w:pPr>
    </w:lvl>
    <w:lvl w:ilvl="1" w:tentative="0">
      <w:start w:val="1"/>
      <w:numFmt w:val="decimal"/>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3">
    <w:nsid w:val="3A7260C0"/>
    <w:multiLevelType w:val="multilevel"/>
    <w:tmpl w:val="3A7260C0"/>
    <w:lvl w:ilvl="0" w:tentative="0">
      <w:start w:val="1"/>
      <w:numFmt w:val="chineseCountingThousand"/>
      <w:pStyle w:val="27"/>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F37299F"/>
    <w:multiLevelType w:val="multilevel"/>
    <w:tmpl w:val="4F37299F"/>
    <w:lvl w:ilvl="0" w:tentative="0">
      <w:start w:val="1"/>
      <w:numFmt w:val="chineseCountingThousand"/>
      <w:lvlText w:val="(%1)"/>
      <w:lvlJc w:val="left"/>
      <w:pPr>
        <w:ind w:left="420" w:hanging="420"/>
      </w:pPr>
      <w:rPr>
        <w:rFonts w:hint="eastAsia"/>
      </w:rPr>
    </w:lvl>
    <w:lvl w:ilvl="1" w:tentative="0">
      <w:start w:val="1"/>
      <w:numFmt w:val="japaneseCounting"/>
      <w:lvlText w:val="（%2）"/>
      <w:lvlJc w:val="left"/>
      <w:pPr>
        <w:ind w:left="1500" w:hanging="10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4451D54"/>
    <w:multiLevelType w:val="multilevel"/>
    <w:tmpl w:val="54451D54"/>
    <w:lvl w:ilvl="0" w:tentative="0">
      <w:start w:val="1"/>
      <w:numFmt w:val="decimal"/>
      <w:lvlText w:val="%1．"/>
      <w:lvlJc w:val="left"/>
      <w:pPr>
        <w:ind w:left="1065" w:hanging="420"/>
      </w:pPr>
      <w:rPr>
        <w:rFonts w:hint="eastAsia"/>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6">
    <w:nsid w:val="5B493FDA"/>
    <w:multiLevelType w:val="multilevel"/>
    <w:tmpl w:val="5B493FDA"/>
    <w:lvl w:ilvl="0" w:tentative="0">
      <w:start w:val="1"/>
      <w:numFmt w:val="chineseCountingThousand"/>
      <w:lvlText w:val="(%1)"/>
      <w:lvlJc w:val="left"/>
      <w:pPr>
        <w:ind w:left="1060" w:hanging="420"/>
      </w:pPr>
      <w:rPr>
        <w:rFonts w:hint="eastAsia"/>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7">
    <w:nsid w:val="6757463D"/>
    <w:multiLevelType w:val="multilevel"/>
    <w:tmpl w:val="6757463D"/>
    <w:lvl w:ilvl="0" w:tentative="0">
      <w:start w:val="1"/>
      <w:numFmt w:val="chineseCountingThousand"/>
      <w:lvlText w:val="%1、"/>
      <w:lvlJc w:val="left"/>
      <w:pPr>
        <w:ind w:left="1063" w:hanging="420"/>
      </w:pPr>
      <w:rPr>
        <w:rFonts w:hint="eastAsia"/>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3"/>
  </w:num>
  <w:num w:numId="2">
    <w:abstractNumId w:val="7"/>
  </w:num>
  <w:num w:numId="3">
    <w:abstractNumId w:val="5"/>
  </w:num>
  <w:num w:numId="4">
    <w:abstractNumId w:val="0"/>
  </w:num>
  <w:num w:numId="5">
    <w:abstractNumId w:val="4"/>
  </w:num>
  <w:num w:numId="6">
    <w:abstractNumId w:val="2"/>
  </w:num>
  <w:num w:numId="7">
    <w:abstractNumId w:val="6"/>
  </w:num>
  <w:num w:numId="8">
    <w:abstractNumId w:val="1"/>
  </w:num>
  <w:num w:numId="9">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0"/>
  <w:drawingGridHorizontalSpacing w:val="210"/>
  <w:drawingGridVerticalSpacing w:val="158"/>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75715"/>
    <w:rsid w:val="00022413"/>
    <w:rsid w:val="00037F93"/>
    <w:rsid w:val="00042126"/>
    <w:rsid w:val="000E0C7B"/>
    <w:rsid w:val="000F2007"/>
    <w:rsid w:val="00100A64"/>
    <w:rsid w:val="00100AA9"/>
    <w:rsid w:val="001143D6"/>
    <w:rsid w:val="0012798F"/>
    <w:rsid w:val="00132553"/>
    <w:rsid w:val="00151AF1"/>
    <w:rsid w:val="00174F3A"/>
    <w:rsid w:val="0018169D"/>
    <w:rsid w:val="00193649"/>
    <w:rsid w:val="0019720C"/>
    <w:rsid w:val="001A1902"/>
    <w:rsid w:val="001A4FFA"/>
    <w:rsid w:val="001B5B44"/>
    <w:rsid w:val="001D5FF2"/>
    <w:rsid w:val="001D6F2E"/>
    <w:rsid w:val="00203FB6"/>
    <w:rsid w:val="0023336F"/>
    <w:rsid w:val="00233ECE"/>
    <w:rsid w:val="002A1BF4"/>
    <w:rsid w:val="002B3A72"/>
    <w:rsid w:val="002C6231"/>
    <w:rsid w:val="002F7CDC"/>
    <w:rsid w:val="00324E56"/>
    <w:rsid w:val="00331AF1"/>
    <w:rsid w:val="003468D7"/>
    <w:rsid w:val="00363E52"/>
    <w:rsid w:val="00382736"/>
    <w:rsid w:val="003A04D1"/>
    <w:rsid w:val="003C327E"/>
    <w:rsid w:val="003C4B3D"/>
    <w:rsid w:val="003C6E7F"/>
    <w:rsid w:val="003E0E95"/>
    <w:rsid w:val="003F1C70"/>
    <w:rsid w:val="003F2E47"/>
    <w:rsid w:val="00403544"/>
    <w:rsid w:val="004115AA"/>
    <w:rsid w:val="00434C92"/>
    <w:rsid w:val="00443C47"/>
    <w:rsid w:val="00452560"/>
    <w:rsid w:val="00467DBB"/>
    <w:rsid w:val="004A0587"/>
    <w:rsid w:val="004C56AB"/>
    <w:rsid w:val="004D088E"/>
    <w:rsid w:val="004D4F06"/>
    <w:rsid w:val="005225F1"/>
    <w:rsid w:val="00531253"/>
    <w:rsid w:val="00540B36"/>
    <w:rsid w:val="00563E06"/>
    <w:rsid w:val="0058554B"/>
    <w:rsid w:val="00596DDF"/>
    <w:rsid w:val="005B6EAB"/>
    <w:rsid w:val="005D7AC7"/>
    <w:rsid w:val="00630E69"/>
    <w:rsid w:val="006362B2"/>
    <w:rsid w:val="0065420A"/>
    <w:rsid w:val="006869EC"/>
    <w:rsid w:val="00694A44"/>
    <w:rsid w:val="006D0AA4"/>
    <w:rsid w:val="006F2513"/>
    <w:rsid w:val="006F64CB"/>
    <w:rsid w:val="0071759F"/>
    <w:rsid w:val="007253B3"/>
    <w:rsid w:val="00731D46"/>
    <w:rsid w:val="00734BAD"/>
    <w:rsid w:val="00752C57"/>
    <w:rsid w:val="00781733"/>
    <w:rsid w:val="007C5CF9"/>
    <w:rsid w:val="007D340B"/>
    <w:rsid w:val="007E6392"/>
    <w:rsid w:val="007F3C25"/>
    <w:rsid w:val="00811F2D"/>
    <w:rsid w:val="00815938"/>
    <w:rsid w:val="008226BA"/>
    <w:rsid w:val="00827DA6"/>
    <w:rsid w:val="00835103"/>
    <w:rsid w:val="00854416"/>
    <w:rsid w:val="00866F54"/>
    <w:rsid w:val="00883FF2"/>
    <w:rsid w:val="0089293E"/>
    <w:rsid w:val="00893E6C"/>
    <w:rsid w:val="008D7BC7"/>
    <w:rsid w:val="008E62BE"/>
    <w:rsid w:val="0090104C"/>
    <w:rsid w:val="00982B10"/>
    <w:rsid w:val="009C0267"/>
    <w:rsid w:val="009E5354"/>
    <w:rsid w:val="00A10F1E"/>
    <w:rsid w:val="00A12A0C"/>
    <w:rsid w:val="00A365D5"/>
    <w:rsid w:val="00A41DB8"/>
    <w:rsid w:val="00A43094"/>
    <w:rsid w:val="00A53361"/>
    <w:rsid w:val="00A5786D"/>
    <w:rsid w:val="00A60191"/>
    <w:rsid w:val="00A81609"/>
    <w:rsid w:val="00A85237"/>
    <w:rsid w:val="00AB07C5"/>
    <w:rsid w:val="00AE1FDF"/>
    <w:rsid w:val="00AE3042"/>
    <w:rsid w:val="00B03B29"/>
    <w:rsid w:val="00B16C8F"/>
    <w:rsid w:val="00B32FA4"/>
    <w:rsid w:val="00B36F46"/>
    <w:rsid w:val="00B47B13"/>
    <w:rsid w:val="00B53BE4"/>
    <w:rsid w:val="00B6063F"/>
    <w:rsid w:val="00B9042A"/>
    <w:rsid w:val="00BA0855"/>
    <w:rsid w:val="00BA65AD"/>
    <w:rsid w:val="00BC7696"/>
    <w:rsid w:val="00C2671D"/>
    <w:rsid w:val="00C563AA"/>
    <w:rsid w:val="00C71FF0"/>
    <w:rsid w:val="00C77259"/>
    <w:rsid w:val="00C97E2D"/>
    <w:rsid w:val="00D043D7"/>
    <w:rsid w:val="00D117FB"/>
    <w:rsid w:val="00D23C2E"/>
    <w:rsid w:val="00D61EC8"/>
    <w:rsid w:val="00D93516"/>
    <w:rsid w:val="00DA7F4C"/>
    <w:rsid w:val="00DC5F94"/>
    <w:rsid w:val="00DE152F"/>
    <w:rsid w:val="00DE293B"/>
    <w:rsid w:val="00E05626"/>
    <w:rsid w:val="00E25B2F"/>
    <w:rsid w:val="00E373A5"/>
    <w:rsid w:val="00E66A4D"/>
    <w:rsid w:val="00E72B1C"/>
    <w:rsid w:val="00E96169"/>
    <w:rsid w:val="00F0780F"/>
    <w:rsid w:val="00F16D54"/>
    <w:rsid w:val="00F6015C"/>
    <w:rsid w:val="00F62FE2"/>
    <w:rsid w:val="00F75715"/>
    <w:rsid w:val="00FB2E2F"/>
    <w:rsid w:val="00FD300A"/>
    <w:rsid w:val="00FF137F"/>
    <w:rsid w:val="00FF6959"/>
    <w:rsid w:val="00FF6C14"/>
    <w:rsid w:val="01770FE7"/>
    <w:rsid w:val="01BE6316"/>
    <w:rsid w:val="02EC0DDA"/>
    <w:rsid w:val="038C71E9"/>
    <w:rsid w:val="03B32E91"/>
    <w:rsid w:val="0464725E"/>
    <w:rsid w:val="05A3136D"/>
    <w:rsid w:val="062D12D9"/>
    <w:rsid w:val="08BF3CCB"/>
    <w:rsid w:val="115130DC"/>
    <w:rsid w:val="133131E5"/>
    <w:rsid w:val="13A83C1E"/>
    <w:rsid w:val="167F2DB9"/>
    <w:rsid w:val="16A64CB6"/>
    <w:rsid w:val="1C1B314F"/>
    <w:rsid w:val="1FD20235"/>
    <w:rsid w:val="217F35A7"/>
    <w:rsid w:val="24E73B1F"/>
    <w:rsid w:val="26F03C06"/>
    <w:rsid w:val="27003108"/>
    <w:rsid w:val="28B05F2C"/>
    <w:rsid w:val="2A547683"/>
    <w:rsid w:val="2AEA0BFE"/>
    <w:rsid w:val="2F8765EB"/>
    <w:rsid w:val="33A6617E"/>
    <w:rsid w:val="34AE0083"/>
    <w:rsid w:val="35B54899"/>
    <w:rsid w:val="38257A7A"/>
    <w:rsid w:val="406151FD"/>
    <w:rsid w:val="4161349C"/>
    <w:rsid w:val="42E20386"/>
    <w:rsid w:val="42FC6563"/>
    <w:rsid w:val="43393CB8"/>
    <w:rsid w:val="48732E17"/>
    <w:rsid w:val="48E85024"/>
    <w:rsid w:val="4F842AAD"/>
    <w:rsid w:val="57964064"/>
    <w:rsid w:val="5CFA0DD0"/>
    <w:rsid w:val="5E3E67FC"/>
    <w:rsid w:val="5E901EE1"/>
    <w:rsid w:val="5F280DFD"/>
    <w:rsid w:val="611D5120"/>
    <w:rsid w:val="62AD63D1"/>
    <w:rsid w:val="650D5787"/>
    <w:rsid w:val="667765BF"/>
    <w:rsid w:val="67AC7233"/>
    <w:rsid w:val="6A2414CB"/>
    <w:rsid w:val="6AA60A88"/>
    <w:rsid w:val="6B03761E"/>
    <w:rsid w:val="6F084152"/>
    <w:rsid w:val="6F5059CE"/>
    <w:rsid w:val="71FF21D4"/>
    <w:rsid w:val="7397275C"/>
    <w:rsid w:val="7775238E"/>
    <w:rsid w:val="7A8638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20"/>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3">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5"/>
    <w:semiHidden/>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Body Text"/>
    <w:basedOn w:val="1"/>
    <w:qFormat/>
    <w:uiPriority w:val="1"/>
    <w:rPr>
      <w:rFonts w:ascii="仿宋" w:hAnsi="仿宋" w:eastAsia="仿宋" w:cs="仿宋"/>
      <w:sz w:val="28"/>
      <w:szCs w:val="28"/>
      <w:lang w:val="zh-CN" w:bidi="zh-CN"/>
    </w:rPr>
  </w:style>
  <w:style w:type="paragraph" w:styleId="7">
    <w:name w:val="toc 3"/>
    <w:basedOn w:val="1"/>
    <w:next w:val="1"/>
    <w:semiHidden/>
    <w:unhideWhenUsed/>
    <w:qFormat/>
    <w:uiPriority w:val="39"/>
    <w:rPr>
      <w:rFonts w:eastAsia="仿宋_GB2312"/>
      <w:sz w:val="28"/>
    </w:rPr>
  </w:style>
  <w:style w:type="paragraph" w:styleId="8">
    <w:name w:val="Balloon Text"/>
    <w:basedOn w:val="1"/>
    <w:link w:val="24"/>
    <w:semiHidden/>
    <w:unhideWhenUsed/>
    <w:qFormat/>
    <w:uiPriority w:val="99"/>
    <w:rPr>
      <w:sz w:val="18"/>
      <w:szCs w:val="18"/>
    </w:rPr>
  </w:style>
  <w:style w:type="paragraph" w:styleId="9">
    <w:name w:val="footer"/>
    <w:basedOn w:val="1"/>
    <w:link w:val="23"/>
    <w:unhideWhenUsed/>
    <w:qFormat/>
    <w:uiPriority w:val="99"/>
    <w:pPr>
      <w:tabs>
        <w:tab w:val="center" w:pos="4153"/>
        <w:tab w:val="right" w:pos="8306"/>
      </w:tabs>
      <w:snapToGrid w:val="0"/>
      <w:jc w:val="left"/>
    </w:pPr>
    <w:rPr>
      <w:sz w:val="18"/>
      <w:szCs w:val="18"/>
    </w:rPr>
  </w:style>
  <w:style w:type="paragraph" w:styleId="10">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rPr>
      <w:rFonts w:eastAsia="仿宋_GB2312"/>
      <w:sz w:val="28"/>
    </w:rPr>
  </w:style>
  <w:style w:type="paragraph" w:styleId="12">
    <w:name w:val="toc 2"/>
    <w:basedOn w:val="1"/>
    <w:next w:val="1"/>
    <w:unhideWhenUsed/>
    <w:qFormat/>
    <w:uiPriority w:val="39"/>
    <w:rPr>
      <w:rFonts w:eastAsia="仿宋_GB2312"/>
      <w:sz w:val="28"/>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rFonts w:ascii="Times New Roman" w:hAnsi="Times New Roman" w:eastAsia="宋体" w:cs="Times New Roman"/>
      <w:b/>
      <w:bCs/>
    </w:rPr>
  </w:style>
  <w:style w:type="character" w:styleId="18">
    <w:name w:val="Hyperlink"/>
    <w:basedOn w:val="16"/>
    <w:unhideWhenUsed/>
    <w:qFormat/>
    <w:uiPriority w:val="99"/>
    <w:rPr>
      <w:color w:val="0563C1" w:themeColor="hyperlink"/>
      <w:u w:val="single"/>
    </w:rPr>
  </w:style>
  <w:style w:type="paragraph" w:customStyle="1" w:styleId="19">
    <w:name w:val="Char"/>
    <w:basedOn w:val="1"/>
    <w:qFormat/>
    <w:uiPriority w:val="0"/>
    <w:pPr>
      <w:widowControl/>
      <w:spacing w:after="160" w:line="240" w:lineRule="exact"/>
      <w:jc w:val="left"/>
    </w:pPr>
    <w:rPr>
      <w:rFonts w:ascii="Times New Roman" w:hAnsi="Times New Roman" w:eastAsia="宋体" w:cs="Times New Roman"/>
      <w:szCs w:val="22"/>
    </w:rPr>
  </w:style>
  <w:style w:type="character" w:customStyle="1" w:styleId="20">
    <w:name w:val="标题 1 Char"/>
    <w:basedOn w:val="16"/>
    <w:link w:val="2"/>
    <w:qFormat/>
    <w:uiPriority w:val="9"/>
    <w:rPr>
      <w:rFonts w:ascii="Times New Roman" w:hAnsi="Times New Roman" w:eastAsia="黑体" w:cs="Arial"/>
      <w:b/>
      <w:bCs/>
      <w:kern w:val="44"/>
      <w:sz w:val="28"/>
      <w:szCs w:val="44"/>
    </w:rPr>
  </w:style>
  <w:style w:type="paragraph" w:styleId="21">
    <w:name w:val="List Paragraph"/>
    <w:basedOn w:val="1"/>
    <w:qFormat/>
    <w:uiPriority w:val="34"/>
    <w:pPr>
      <w:ind w:firstLine="420" w:firstLineChars="200"/>
    </w:pPr>
  </w:style>
  <w:style w:type="character" w:customStyle="1" w:styleId="22">
    <w:name w:val="页眉 Char"/>
    <w:basedOn w:val="16"/>
    <w:link w:val="10"/>
    <w:qFormat/>
    <w:uiPriority w:val="99"/>
    <w:rPr>
      <w:sz w:val="18"/>
      <w:szCs w:val="18"/>
    </w:rPr>
  </w:style>
  <w:style w:type="character" w:customStyle="1" w:styleId="23">
    <w:name w:val="页脚 Char"/>
    <w:basedOn w:val="16"/>
    <w:link w:val="9"/>
    <w:qFormat/>
    <w:uiPriority w:val="99"/>
    <w:rPr>
      <w:sz w:val="18"/>
      <w:szCs w:val="18"/>
    </w:rPr>
  </w:style>
  <w:style w:type="character" w:customStyle="1" w:styleId="24">
    <w:name w:val="批注框文本 Char"/>
    <w:basedOn w:val="16"/>
    <w:link w:val="8"/>
    <w:semiHidden/>
    <w:qFormat/>
    <w:uiPriority w:val="99"/>
    <w:rPr>
      <w:sz w:val="18"/>
      <w:szCs w:val="18"/>
    </w:rPr>
  </w:style>
  <w:style w:type="paragraph" w:customStyle="1" w:styleId="25">
    <w:name w:val="标题1"/>
    <w:basedOn w:val="2"/>
    <w:qFormat/>
    <w:uiPriority w:val="0"/>
    <w:pPr>
      <w:spacing w:before="120" w:after="120" w:line="500" w:lineRule="exact"/>
      <w:ind w:firstLine="200" w:firstLineChars="200"/>
    </w:pPr>
    <w:rPr>
      <w:rFonts w:cs="Times New Roman"/>
      <w:sz w:val="32"/>
      <w:szCs w:val="32"/>
    </w:rPr>
  </w:style>
  <w:style w:type="character" w:customStyle="1" w:styleId="26">
    <w:name w:val="标题 2 Char"/>
    <w:basedOn w:val="16"/>
    <w:link w:val="3"/>
    <w:qFormat/>
    <w:uiPriority w:val="9"/>
    <w:rPr>
      <w:rFonts w:asciiTheme="majorHAnsi" w:hAnsiTheme="majorHAnsi" w:eastAsiaTheme="majorEastAsia" w:cstheme="majorBidi"/>
      <w:b/>
      <w:bCs/>
      <w:sz w:val="32"/>
      <w:szCs w:val="32"/>
    </w:rPr>
  </w:style>
  <w:style w:type="paragraph" w:customStyle="1" w:styleId="27">
    <w:name w:val="标题2"/>
    <w:basedOn w:val="3"/>
    <w:qFormat/>
    <w:uiPriority w:val="0"/>
    <w:pPr>
      <w:numPr>
        <w:ilvl w:val="0"/>
        <w:numId w:val="1"/>
      </w:numPr>
      <w:spacing w:before="120" w:after="120" w:line="500" w:lineRule="exact"/>
    </w:pPr>
    <w:rPr>
      <w:rFonts w:ascii="仿宋_GB2312" w:eastAsia="仿宋_GB2312" w:cs="Times New Roman"/>
    </w:rPr>
  </w:style>
  <w:style w:type="paragraph" w:customStyle="1" w:styleId="28">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29">
    <w:name w:val="闻政正文 Char"/>
    <w:link w:val="30"/>
    <w:qFormat/>
    <w:uiPriority w:val="0"/>
    <w:rPr>
      <w:rFonts w:ascii="Times New Roman" w:hAnsi="Times New Roman" w:eastAsia="仿宋_GB2312" w:cs="Times New Roman"/>
      <w:sz w:val="28"/>
      <w:szCs w:val="28"/>
    </w:rPr>
  </w:style>
  <w:style w:type="paragraph" w:customStyle="1" w:styleId="30">
    <w:name w:val="闻政正文"/>
    <w:basedOn w:val="1"/>
    <w:link w:val="29"/>
    <w:qFormat/>
    <w:uiPriority w:val="0"/>
    <w:pPr>
      <w:spacing w:line="500" w:lineRule="exact"/>
      <w:ind w:firstLine="560" w:firstLineChars="200"/>
    </w:pPr>
    <w:rPr>
      <w:rFonts w:ascii="Times New Roman" w:hAnsi="Times New Roman" w:eastAsia="仿宋_GB2312" w:cs="Times New Roman"/>
      <w:sz w:val="28"/>
      <w:szCs w:val="28"/>
    </w:rPr>
  </w:style>
  <w:style w:type="character" w:customStyle="1" w:styleId="31">
    <w:name w:val="闻政表 Char"/>
    <w:link w:val="32"/>
    <w:qFormat/>
    <w:uiPriority w:val="0"/>
    <w:rPr>
      <w:rFonts w:ascii="Times New Roman" w:hAnsi="Times New Roman" w:eastAsia="仿宋_GB2312" w:cs="Times New Roman"/>
      <w:b/>
      <w:sz w:val="24"/>
      <w:szCs w:val="28"/>
    </w:rPr>
  </w:style>
  <w:style w:type="paragraph" w:customStyle="1" w:styleId="32">
    <w:name w:val="闻政表"/>
    <w:basedOn w:val="1"/>
    <w:link w:val="31"/>
    <w:qFormat/>
    <w:uiPriority w:val="0"/>
    <w:pPr>
      <w:spacing w:before="60" w:after="60"/>
      <w:jc w:val="center"/>
    </w:pPr>
    <w:rPr>
      <w:rFonts w:ascii="Times New Roman" w:hAnsi="Times New Roman" w:eastAsia="仿宋_GB2312" w:cs="Times New Roman"/>
      <w:b/>
      <w:sz w:val="24"/>
      <w:szCs w:val="28"/>
    </w:rPr>
  </w:style>
  <w:style w:type="character" w:customStyle="1" w:styleId="33">
    <w:name w:val="闻政标题3 Char"/>
    <w:link w:val="34"/>
    <w:qFormat/>
    <w:uiPriority w:val="0"/>
    <w:rPr>
      <w:rFonts w:ascii="黑体" w:hAnsi="黑体" w:eastAsia="黑体" w:cs="Times New Roman"/>
      <w:bCs/>
      <w:sz w:val="32"/>
      <w:szCs w:val="32"/>
    </w:rPr>
  </w:style>
  <w:style w:type="paragraph" w:customStyle="1" w:styleId="34">
    <w:name w:val="闻政标题3"/>
    <w:basedOn w:val="4"/>
    <w:link w:val="33"/>
    <w:qFormat/>
    <w:uiPriority w:val="99"/>
    <w:pPr>
      <w:spacing w:before="120" w:after="60" w:line="500" w:lineRule="exact"/>
      <w:jc w:val="left"/>
      <w:outlineLvl w:val="0"/>
    </w:pPr>
    <w:rPr>
      <w:rFonts w:ascii="黑体" w:hAnsi="黑体" w:eastAsia="黑体" w:cs="Times New Roman"/>
      <w:b w:val="0"/>
    </w:rPr>
  </w:style>
  <w:style w:type="character" w:customStyle="1" w:styleId="35">
    <w:name w:val="标题 3 Char"/>
    <w:basedOn w:val="16"/>
    <w:link w:val="4"/>
    <w:semiHidden/>
    <w:qFormat/>
    <w:uiPriority w:val="9"/>
    <w:rPr>
      <w:b/>
      <w:bCs/>
      <w:sz w:val="32"/>
      <w:szCs w:val="32"/>
    </w:rPr>
  </w:style>
  <w:style w:type="paragraph" w:customStyle="1" w:styleId="36">
    <w:name w:val="Body text|1"/>
    <w:basedOn w:val="1"/>
    <w:link w:val="37"/>
    <w:qFormat/>
    <w:uiPriority w:val="0"/>
    <w:pPr>
      <w:spacing w:after="40" w:line="334" w:lineRule="auto"/>
    </w:pPr>
    <w:rPr>
      <w:rFonts w:ascii="MingLiU" w:hAnsi="MingLiU" w:eastAsia="MingLiU" w:cs="MingLiU"/>
      <w:sz w:val="20"/>
      <w:szCs w:val="20"/>
      <w:lang w:val="zh-TW" w:eastAsia="zh-TW" w:bidi="zh-TW"/>
    </w:rPr>
  </w:style>
  <w:style w:type="character" w:customStyle="1" w:styleId="37">
    <w:name w:val="Body text|1_"/>
    <w:basedOn w:val="16"/>
    <w:link w:val="36"/>
    <w:unhideWhenUsed/>
    <w:qFormat/>
    <w:uiPriority w:val="0"/>
    <w:rPr>
      <w:rFonts w:ascii="MingLiU" w:hAnsi="MingLiU" w:eastAsia="MingLiU" w:cs="MingLiU"/>
      <w:sz w:val="20"/>
      <w:szCs w:val="2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12F1EB-F90A-43BA-ADA9-C3204447845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698</Words>
  <Characters>3980</Characters>
  <Lines>33</Lines>
  <Paragraphs>9</Paragraphs>
  <TotalTime>1</TotalTime>
  <ScaleCrop>false</ScaleCrop>
  <LinksUpToDate>false</LinksUpToDate>
  <CharactersWithSpaces>4669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2019-11-22T05:12:00Z</dcterms:created>
  <dc:creator>ThinkPad</dc:creator>
  <cp:lastModifiedBy>Administrator</cp:lastModifiedBy>
  <dcterms:modified xsi:type="dcterms:W3CDTF">2023-12-14T04:08:28Z</dcterms:modified>
  <dc:title>新疆普天鹏华商务信息咨询有限公司</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