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rPr>
          <w:rFonts w:eastAsia="Times New Roman"/>
          <w:kern w:val="0"/>
          <w:sz w:val="30"/>
          <w:szCs w:val="30"/>
        </w:rPr>
      </w:pPr>
    </w:p>
    <w:p>
      <w:pPr>
        <w:pStyle w:val="50"/>
        <w:spacing w:line="700" w:lineRule="exact"/>
        <w:ind w:firstLine="720" w:firstLineChars="200"/>
        <w:jc w:val="left"/>
        <w:rPr>
          <w:rFonts w:ascii="仿宋_GB2312" w:hAnsi="仿宋_GB2312" w:eastAsia="仿宋_GB2312" w:cs="仿宋_GB2312"/>
          <w:kern w:val="0"/>
          <w:sz w:val="36"/>
          <w:szCs w:val="36"/>
          <w:lang w:val="zh-TW"/>
        </w:rPr>
      </w:pP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rPr>
        <w:t>养殖小区项目</w:t>
      </w:r>
    </w:p>
    <w:p>
      <w:pPr>
        <w:pStyle w:val="50"/>
        <w:spacing w:line="700" w:lineRule="exact"/>
        <w:ind w:firstLine="720" w:firstLineChars="200"/>
        <w:jc w:val="left"/>
        <w:rPr>
          <w:rFonts w:eastAsiaTheme="minorEastAsia"/>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w:t>
      </w:r>
      <w:r>
        <w:rPr>
          <w:rFonts w:hint="eastAsia"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w:t>
      </w:r>
      <w:r>
        <w:rPr>
          <w:rFonts w:hint="eastAsia" w:ascii="仿宋_GB2312" w:hAnsi="仿宋_GB2312" w:eastAsia="仿宋_GB2312" w:cs="仿宋_GB2312"/>
          <w:kern w:val="0"/>
          <w:sz w:val="36"/>
          <w:szCs w:val="36"/>
        </w:rPr>
        <w:t>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w:t>
      </w:r>
      <w:r>
        <w:rPr>
          <w:rFonts w:hint="eastAsia" w:ascii="仿宋_GB2312" w:hAnsi="仿宋_GB2312" w:eastAsia="仿宋_GB2312" w:cs="仿宋_GB2312"/>
          <w:kern w:val="0"/>
          <w:sz w:val="36"/>
          <w:szCs w:val="36"/>
        </w:rPr>
        <w:t>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jc w:val="center"/>
        <w:rPr>
          <w:rFonts w:ascii="黑体" w:hAnsi="黑体" w:eastAsia="黑体" w:cs="宋体"/>
          <w:b/>
          <w:kern w:val="0"/>
          <w:sz w:val="36"/>
          <w:szCs w:val="36"/>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2018年完成24个新建牲畜养殖棚圈33500m²，项目竣工后移交乡镇进行运营管护。购置机械加工设备58台（套）；电力配套12台变压器。</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本项目性质为新增项目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主要用于24个村建牲畜养殖棚圈33500m²，项目竣工后移交乡镇进行运营管护。购置机械加工设备58台（套）；电力配套12台变压器。</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养殖小区项目预算安排总额为</w:t>
      </w:r>
      <w:r>
        <w:rPr>
          <w:rFonts w:ascii="仿宋_GB2312" w:eastAsia="仿宋_GB2312"/>
          <w:bCs/>
          <w:kern w:val="0"/>
          <w:sz w:val="32"/>
          <w:szCs w:val="32"/>
        </w:rPr>
        <w:t>2298.86</w:t>
      </w:r>
      <w:r>
        <w:rPr>
          <w:rFonts w:hint="eastAsia" w:ascii="仿宋_GB2312" w:eastAsia="仿宋_GB2312"/>
          <w:bCs/>
          <w:kern w:val="0"/>
          <w:sz w:val="32"/>
          <w:szCs w:val="32"/>
        </w:rPr>
        <w:t>万元，其中财政资金</w:t>
      </w:r>
      <w:r>
        <w:rPr>
          <w:rFonts w:ascii="仿宋_GB2312" w:eastAsia="仿宋_GB2312"/>
          <w:bCs/>
          <w:kern w:val="0"/>
          <w:sz w:val="32"/>
          <w:szCs w:val="32"/>
        </w:rPr>
        <w:t>2298.86</w:t>
      </w:r>
      <w:r>
        <w:rPr>
          <w:rFonts w:hint="eastAsia" w:ascii="仿宋_GB2312" w:eastAsia="仿宋_GB2312"/>
          <w:bCs/>
          <w:kern w:val="0"/>
          <w:sz w:val="32"/>
          <w:szCs w:val="32"/>
        </w:rPr>
        <w:t>万元，自筹资金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2298.86</w:t>
      </w:r>
      <w:r>
        <w:rPr>
          <w:rFonts w:hint="eastAsia" w:ascii="仿宋_GB2312" w:eastAsia="仿宋_GB2312"/>
          <w:bCs/>
          <w:kern w:val="0"/>
          <w:sz w:val="32"/>
          <w:szCs w:val="32"/>
        </w:rPr>
        <w:t>万元，资金到位率100%。</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本项目到位资金2298.86万元，实际支付资金</w:t>
      </w:r>
      <w:r>
        <w:rPr>
          <w:rFonts w:ascii="仿宋_GB2312" w:eastAsia="仿宋_GB2312"/>
          <w:bCs/>
          <w:kern w:val="0"/>
          <w:sz w:val="32"/>
          <w:szCs w:val="32"/>
        </w:rPr>
        <w:t>2298.86</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。项目资金主要用于支付养殖小区项目费用</w:t>
      </w:r>
      <w:r>
        <w:rPr>
          <w:rFonts w:ascii="仿宋_GB2312" w:eastAsia="仿宋_GB2312"/>
          <w:bCs/>
          <w:kern w:val="0"/>
          <w:sz w:val="32"/>
          <w:szCs w:val="32"/>
        </w:rPr>
        <w:t>2298.86</w:t>
      </w:r>
      <w:r>
        <w:rPr>
          <w:rFonts w:hint="eastAsia" w:ascii="仿宋_GB2312" w:eastAsia="仿宋_GB2312"/>
          <w:bCs/>
          <w:kern w:val="0"/>
          <w:sz w:val="32"/>
          <w:szCs w:val="32"/>
        </w:rPr>
        <w:t>万元，无结余资金。</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本项目支出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在开工前期，做好前期的准备工作和实施方案的编制，设定预防方案（预防天气等因素的影响）。根据具体工程量，及早确定本工程计划分包的工程量，以便于有充足的时间确定分包商，避免对项目工期造成延误。</w:t>
      </w:r>
    </w:p>
    <w:p>
      <w:pPr>
        <w:spacing w:line="560" w:lineRule="exact"/>
        <w:ind w:firstLine="640" w:firstLineChars="200"/>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、项目目标设定依据充分、明确、合理，项目建设符合国家相关规定。项目实施过程中，结合我县实际情况制定工作实施方案、召开会议部署、加强督促检查、严格考核验收推进项目的工作进度和完成的质量。</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的实施遵守相关法律法规和业务管理规定，项目资料齐全并及时归档。已建立《养殖小区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320" w:firstLineChars="100"/>
        <w:jc w:val="left"/>
        <w:rPr>
          <w:rFonts w:ascii="仿宋_GB2312" w:hAnsi="Arial" w:eastAsia="仿宋_GB2312" w:cs="Arial"/>
          <w:sz w:val="32"/>
          <w:szCs w:val="32"/>
        </w:rPr>
      </w:pPr>
      <w:r>
        <w:rPr>
          <w:rFonts w:hint="eastAsia" w:ascii="仿宋_GB2312" w:hAnsi="Arial" w:eastAsia="仿宋_GB2312" w:cs="Arial"/>
          <w:sz w:val="32"/>
          <w:szCs w:val="32"/>
        </w:rPr>
        <w:t>本项目共设置一级指标</w:t>
      </w:r>
      <w:r>
        <w:rPr>
          <w:rFonts w:ascii="仿宋_GB2312" w:hAnsi="Arial" w:eastAsia="仿宋_GB2312" w:cs="Arial"/>
          <w:sz w:val="32"/>
          <w:szCs w:val="32"/>
        </w:rPr>
        <w:t>3</w:t>
      </w:r>
      <w:r>
        <w:rPr>
          <w:rFonts w:hint="eastAsia" w:ascii="仿宋_GB2312" w:hAnsi="Arial" w:eastAsia="仿宋_GB2312" w:cs="Arial"/>
          <w:sz w:val="32"/>
          <w:szCs w:val="32"/>
        </w:rPr>
        <w:t>个，二级指标</w:t>
      </w:r>
      <w:r>
        <w:rPr>
          <w:rFonts w:ascii="仿宋_GB2312" w:hAnsi="Arial" w:eastAsia="仿宋_GB2312" w:cs="Arial"/>
          <w:sz w:val="32"/>
          <w:szCs w:val="32"/>
        </w:rPr>
        <w:t>9</w:t>
      </w:r>
      <w:r>
        <w:rPr>
          <w:rFonts w:hint="eastAsia" w:ascii="仿宋_GB2312" w:hAnsi="Arial" w:eastAsia="仿宋_GB2312" w:cs="Arial"/>
          <w:sz w:val="32"/>
          <w:szCs w:val="32"/>
        </w:rPr>
        <w:t>个，三级指标</w:t>
      </w:r>
      <w:r>
        <w:rPr>
          <w:rFonts w:hint="eastAsia" w:ascii="仿宋_GB2312" w:hAnsi="Arial" w:eastAsia="仿宋_GB2312" w:cs="Arial"/>
          <w:sz w:val="32"/>
          <w:szCs w:val="32"/>
          <w:lang w:val="en-US" w:eastAsia="zh-CN"/>
        </w:rPr>
        <w:t>17</w:t>
      </w:r>
      <w:r>
        <w:rPr>
          <w:rFonts w:hint="eastAsia" w:ascii="仿宋_GB2312" w:hAnsi="Arial" w:eastAsia="仿宋_GB2312" w:cs="Arial"/>
          <w:sz w:val="32"/>
          <w:szCs w:val="32"/>
        </w:rPr>
        <w:t>个，其中已完成三级指标</w:t>
      </w:r>
      <w:r>
        <w:rPr>
          <w:rFonts w:hint="eastAsia" w:ascii="仿宋_GB2312" w:hAnsi="Arial" w:eastAsia="仿宋_GB2312" w:cs="Arial"/>
          <w:sz w:val="32"/>
          <w:szCs w:val="32"/>
          <w:lang w:val="en-US" w:eastAsia="zh-CN"/>
        </w:rPr>
        <w:t>17</w:t>
      </w:r>
      <w:r>
        <w:rPr>
          <w:rFonts w:hint="eastAsia" w:ascii="仿宋_GB2312" w:hAnsi="Arial" w:eastAsia="仿宋_GB2312" w:cs="Arial"/>
          <w:sz w:val="32"/>
          <w:szCs w:val="32"/>
        </w:rPr>
        <w:t>个，指标完成率为</w:t>
      </w:r>
      <w:r>
        <w:rPr>
          <w:rFonts w:ascii="仿宋_GB2312" w:hAnsi="Arial" w:eastAsia="仿宋_GB2312" w:cs="Arial"/>
          <w:sz w:val="32"/>
          <w:szCs w:val="32"/>
        </w:rPr>
        <w:t>100%</w:t>
      </w:r>
      <w:r>
        <w:rPr>
          <w:rFonts w:hint="eastAsia" w:ascii="仿宋_GB2312" w:hAnsi="Arial" w:eastAsia="仿宋_GB2312" w:cs="Arial"/>
          <w:sz w:val="32"/>
          <w:szCs w:val="32"/>
        </w:rPr>
        <w:t>。根据年初设定的绩效目标，此项目自评得分为91分。</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1.</w:t>
      </w:r>
      <w:r>
        <w:rPr>
          <w:rFonts w:hint="eastAsia" w:ascii="仿宋_GB2312" w:hAnsi="Arial" w:eastAsia="仿宋_GB2312" w:cs="Arial"/>
          <w:sz w:val="32"/>
          <w:szCs w:val="32"/>
        </w:rPr>
        <w:t>产出指标完成情况分析</w:t>
      </w:r>
      <w:bookmarkStart w:id="0" w:name="_GoBack"/>
      <w:bookmarkEnd w:id="0"/>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）项目完成数量</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数量指标全部完成。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）项目完成质量</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项目竣工验收合格率100%。</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）项目实施进度</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按照申报目标的进度进行。</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）项目成本节约情况</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新建牲畜养殖棚圈单价538.47元/平方米，购置机械加工设备单价44800元/套，电力配套变压器195800元/台。</w:t>
      </w:r>
    </w:p>
    <w:p>
      <w:pPr>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w:t>
      </w:r>
      <w:r>
        <w:rPr>
          <w:rFonts w:hint="eastAsia" w:ascii="仿宋_GB2312" w:hAnsi="Arial" w:eastAsia="仿宋_GB2312" w:cs="Arial"/>
          <w:sz w:val="32"/>
          <w:szCs w:val="32"/>
        </w:rPr>
        <w:t>效益指标完成情况分析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1</w:t>
      </w:r>
      <w:r>
        <w:rPr>
          <w:rFonts w:hint="eastAsia" w:ascii="仿宋_GB2312" w:hAnsi="Arial" w:eastAsia="仿宋_GB2312" w:cs="Arial"/>
          <w:sz w:val="32"/>
          <w:szCs w:val="32"/>
        </w:rPr>
        <w:t>）项目实施的经济效益分析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本项目实施每年可增加参与托养的贫困户持续收入3000元。</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2</w:t>
      </w:r>
      <w:r>
        <w:rPr>
          <w:rFonts w:hint="eastAsia" w:ascii="仿宋_GB2312" w:hAnsi="Arial" w:eastAsia="仿宋_GB2312" w:cs="Arial"/>
          <w:sz w:val="32"/>
          <w:szCs w:val="32"/>
        </w:rPr>
        <w:t>）项目实施的社会效益分析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本项目促进畜牧业技术推广，畜牧改良，并增加就业岗位，为更多的贫困农民增加就业机会，增加收入，提高生活质量。</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3</w:t>
      </w:r>
      <w:r>
        <w:rPr>
          <w:rFonts w:hint="eastAsia" w:ascii="仿宋_GB2312" w:hAnsi="Arial" w:eastAsia="仿宋_GB2312" w:cs="Arial"/>
          <w:sz w:val="32"/>
          <w:szCs w:val="32"/>
        </w:rPr>
        <w:t>）项目实施的生态效益分析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本项目实施有效促进有机肥利用率，优化环境，降低污染，促进粪污资源化利用率。</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w:t>
      </w:r>
      <w:r>
        <w:rPr>
          <w:rFonts w:ascii="仿宋_GB2312" w:hAnsi="Arial" w:eastAsia="仿宋_GB2312" w:cs="Arial"/>
          <w:sz w:val="32"/>
          <w:szCs w:val="32"/>
        </w:rPr>
        <w:t>4</w:t>
      </w:r>
      <w:r>
        <w:rPr>
          <w:rFonts w:hint="eastAsia" w:ascii="仿宋_GB2312" w:hAnsi="Arial" w:eastAsia="仿宋_GB2312" w:cs="Arial"/>
          <w:sz w:val="32"/>
          <w:szCs w:val="32"/>
        </w:rPr>
        <w:t>）项目实施的可持续影响分析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本项目实施有效促进本年度养殖业良性发展和环境可持续性发展。</w:t>
      </w:r>
    </w:p>
    <w:p>
      <w:pPr>
        <w:spacing w:line="560" w:lineRule="exact"/>
        <w:ind w:firstLine="800" w:firstLineChars="250"/>
        <w:rPr>
          <w:rFonts w:ascii="仿宋_GB2312" w:hAnsi="Arial" w:eastAsia="仿宋_GB2312" w:cs="Arial"/>
          <w:sz w:val="32"/>
          <w:szCs w:val="32"/>
        </w:rPr>
      </w:pPr>
      <w:r>
        <w:rPr>
          <w:rFonts w:ascii="仿宋_GB2312" w:hAnsi="Arial" w:eastAsia="仿宋_GB2312" w:cs="Arial"/>
          <w:sz w:val="32"/>
          <w:szCs w:val="32"/>
        </w:rPr>
        <w:t>3.</w:t>
      </w:r>
      <w:r>
        <w:rPr>
          <w:rFonts w:hint="eastAsia" w:ascii="仿宋_GB2312" w:hAnsi="Arial" w:eastAsia="仿宋_GB2312" w:cs="Arial"/>
          <w:sz w:val="32"/>
          <w:szCs w:val="32"/>
        </w:rPr>
        <w:t>满意度指标完成情况分析</w:t>
      </w:r>
    </w:p>
    <w:p>
      <w:pPr>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按计划完成项目实施，已做满意度调查问卷，受益人员满意率达98%，服务对象满意度指标完成。</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2018</w:t>
      </w:r>
      <w:r>
        <w:rPr>
          <w:rFonts w:hint="eastAsia" w:ascii="仿宋_GB2312" w:hAnsi="Arial" w:eastAsia="仿宋_GB2312" w:cs="Arial"/>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投保牲畜死亡或出现生病情况，符合保险合同的，依法找保险公司赔偿。</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项目的实施要严格按照项目实施方案进行，保证进度能按时间节点完成。</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养殖小区项目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03512"/>
    <w:multiLevelType w:val="singleLevel"/>
    <w:tmpl w:val="A6703512"/>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5470"/>
    <w:rsid w:val="0012208E"/>
    <w:rsid w:val="00135256"/>
    <w:rsid w:val="001A4E1F"/>
    <w:rsid w:val="001A57B9"/>
    <w:rsid w:val="001C3847"/>
    <w:rsid w:val="001F3031"/>
    <w:rsid w:val="00210A26"/>
    <w:rsid w:val="002964A9"/>
    <w:rsid w:val="002A2532"/>
    <w:rsid w:val="002D4137"/>
    <w:rsid w:val="002F0511"/>
    <w:rsid w:val="00365250"/>
    <w:rsid w:val="0036624C"/>
    <w:rsid w:val="00385849"/>
    <w:rsid w:val="00493676"/>
    <w:rsid w:val="0049741E"/>
    <w:rsid w:val="004C6E6D"/>
    <w:rsid w:val="004E79DB"/>
    <w:rsid w:val="0050167F"/>
    <w:rsid w:val="00514506"/>
    <w:rsid w:val="005162F1"/>
    <w:rsid w:val="00530B23"/>
    <w:rsid w:val="00534FAD"/>
    <w:rsid w:val="00535153"/>
    <w:rsid w:val="005422CF"/>
    <w:rsid w:val="005639B2"/>
    <w:rsid w:val="00572F05"/>
    <w:rsid w:val="00575CFE"/>
    <w:rsid w:val="00592D09"/>
    <w:rsid w:val="005D1206"/>
    <w:rsid w:val="0063222C"/>
    <w:rsid w:val="00670743"/>
    <w:rsid w:val="00675D58"/>
    <w:rsid w:val="006B5975"/>
    <w:rsid w:val="006B7D99"/>
    <w:rsid w:val="006F2E6D"/>
    <w:rsid w:val="007218B8"/>
    <w:rsid w:val="00746704"/>
    <w:rsid w:val="00785FDE"/>
    <w:rsid w:val="007A0351"/>
    <w:rsid w:val="007A14BC"/>
    <w:rsid w:val="007C1025"/>
    <w:rsid w:val="007E6845"/>
    <w:rsid w:val="007F5F8A"/>
    <w:rsid w:val="00826CA1"/>
    <w:rsid w:val="00835B7F"/>
    <w:rsid w:val="00855E3A"/>
    <w:rsid w:val="00870515"/>
    <w:rsid w:val="008E4C08"/>
    <w:rsid w:val="00922CB9"/>
    <w:rsid w:val="009530BF"/>
    <w:rsid w:val="00974219"/>
    <w:rsid w:val="009B526F"/>
    <w:rsid w:val="009C0BF3"/>
    <w:rsid w:val="009C1AFD"/>
    <w:rsid w:val="00A26421"/>
    <w:rsid w:val="00A4293B"/>
    <w:rsid w:val="00A83BD5"/>
    <w:rsid w:val="00B06CA5"/>
    <w:rsid w:val="00B41F61"/>
    <w:rsid w:val="00B55332"/>
    <w:rsid w:val="00B6487B"/>
    <w:rsid w:val="00B86E8C"/>
    <w:rsid w:val="00BE1A00"/>
    <w:rsid w:val="00C22CF0"/>
    <w:rsid w:val="00C56C72"/>
    <w:rsid w:val="00CA6457"/>
    <w:rsid w:val="00CB0B2C"/>
    <w:rsid w:val="00CC6E4D"/>
    <w:rsid w:val="00D17F2E"/>
    <w:rsid w:val="00D331E3"/>
    <w:rsid w:val="00D46194"/>
    <w:rsid w:val="00D766E8"/>
    <w:rsid w:val="00E01293"/>
    <w:rsid w:val="00E50B0A"/>
    <w:rsid w:val="00E769FE"/>
    <w:rsid w:val="00EA2CBE"/>
    <w:rsid w:val="00EA3724"/>
    <w:rsid w:val="00F32FEE"/>
    <w:rsid w:val="00F84D9F"/>
    <w:rsid w:val="00FC6547"/>
    <w:rsid w:val="00FE7722"/>
    <w:rsid w:val="0DE35CFF"/>
    <w:rsid w:val="10D00C04"/>
    <w:rsid w:val="12E31068"/>
    <w:rsid w:val="14F51823"/>
    <w:rsid w:val="1A872DDC"/>
    <w:rsid w:val="2582551A"/>
    <w:rsid w:val="2693448E"/>
    <w:rsid w:val="30671E09"/>
    <w:rsid w:val="32876BC1"/>
    <w:rsid w:val="380D161D"/>
    <w:rsid w:val="52673442"/>
    <w:rsid w:val="667C3E33"/>
    <w:rsid w:val="66EA474E"/>
    <w:rsid w:val="697D25EE"/>
    <w:rsid w:val="69E4042E"/>
    <w:rsid w:val="6D830CE2"/>
    <w:rsid w:val="704A2244"/>
    <w:rsid w:val="78504D6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uiPriority w:val="99"/>
    <w:rPr>
      <w:rFonts w:ascii="宋体"/>
      <w:sz w:val="18"/>
      <w:szCs w:val="18"/>
    </w:rPr>
  </w:style>
  <w:style w:type="paragraph" w:styleId="12">
    <w:name w:val="Balloon Text"/>
    <w:basedOn w:val="1"/>
    <w:link w:val="32"/>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3"/>
    <w:qFormat/>
    <w:locked/>
    <w:uiPriority w:val="99"/>
    <w:rPr>
      <w:rFonts w:ascii="Cambria" w:hAnsi="Cambria" w:eastAsia="宋体" w:cs="Times New Roman"/>
      <w:b/>
      <w:bCs/>
      <w:kern w:val="32"/>
      <w:sz w:val="32"/>
      <w:szCs w:val="32"/>
    </w:rPr>
  </w:style>
  <w:style w:type="character" w:customStyle="1" w:styleId="23">
    <w:name w:val="标题 2 Char"/>
    <w:basedOn w:val="19"/>
    <w:link w:val="4"/>
    <w:semiHidden/>
    <w:locked/>
    <w:uiPriority w:val="99"/>
    <w:rPr>
      <w:rFonts w:ascii="Cambria" w:hAnsi="Cambria" w:eastAsia="宋体" w:cs="Times New Roman"/>
      <w:b/>
      <w:bCs/>
      <w:i/>
      <w:iCs/>
      <w:sz w:val="28"/>
      <w:szCs w:val="28"/>
    </w:rPr>
  </w:style>
  <w:style w:type="character" w:customStyle="1" w:styleId="24">
    <w:name w:val="标题 3 Char"/>
    <w:basedOn w:val="19"/>
    <w:link w:val="2"/>
    <w:semiHidden/>
    <w:locked/>
    <w:uiPriority w:val="99"/>
    <w:rPr>
      <w:rFonts w:ascii="Cambria" w:hAnsi="Cambria" w:eastAsia="宋体" w:cs="Times New Roman"/>
      <w:b/>
      <w:bCs/>
      <w:sz w:val="26"/>
      <w:szCs w:val="26"/>
    </w:rPr>
  </w:style>
  <w:style w:type="character" w:customStyle="1" w:styleId="25">
    <w:name w:val="标题 4 Char"/>
    <w:basedOn w:val="19"/>
    <w:link w:val="5"/>
    <w:semiHidden/>
    <w:locked/>
    <w:uiPriority w:val="99"/>
    <w:rPr>
      <w:rFonts w:cs="Times New Roman"/>
      <w:b/>
      <w:bCs/>
      <w:sz w:val="28"/>
      <w:szCs w:val="28"/>
    </w:rPr>
  </w:style>
  <w:style w:type="character" w:customStyle="1" w:styleId="26">
    <w:name w:val="标题 5 Char"/>
    <w:basedOn w:val="19"/>
    <w:link w:val="6"/>
    <w:semiHidden/>
    <w:locked/>
    <w:uiPriority w:val="99"/>
    <w:rPr>
      <w:rFonts w:cs="Times New Roman"/>
      <w:b/>
      <w:bCs/>
      <w:i/>
      <w:iCs/>
      <w:sz w:val="26"/>
      <w:szCs w:val="26"/>
    </w:rPr>
  </w:style>
  <w:style w:type="character" w:customStyle="1" w:styleId="27">
    <w:name w:val="标题 6 Char"/>
    <w:basedOn w:val="19"/>
    <w:link w:val="7"/>
    <w:semiHidden/>
    <w:locked/>
    <w:uiPriority w:val="99"/>
    <w:rPr>
      <w:rFonts w:cs="Times New Roman"/>
      <w:b/>
      <w:bCs/>
    </w:rPr>
  </w:style>
  <w:style w:type="character" w:customStyle="1" w:styleId="28">
    <w:name w:val="标题 7 Char"/>
    <w:basedOn w:val="19"/>
    <w:link w:val="8"/>
    <w:semiHidden/>
    <w:locked/>
    <w:uiPriority w:val="99"/>
    <w:rPr>
      <w:rFonts w:cs="Times New Roman"/>
      <w:sz w:val="24"/>
      <w:szCs w:val="24"/>
    </w:rPr>
  </w:style>
  <w:style w:type="character" w:customStyle="1" w:styleId="29">
    <w:name w:val="标题 8 Char"/>
    <w:basedOn w:val="19"/>
    <w:link w:val="9"/>
    <w:semiHidden/>
    <w:locked/>
    <w:uiPriority w:val="99"/>
    <w:rPr>
      <w:rFonts w:cs="Times New Roman"/>
      <w:i/>
      <w:iCs/>
      <w:sz w:val="24"/>
      <w:szCs w:val="24"/>
    </w:rPr>
  </w:style>
  <w:style w:type="character" w:customStyle="1" w:styleId="30">
    <w:name w:val="标题 9 Char"/>
    <w:basedOn w:val="19"/>
    <w:link w:val="10"/>
    <w:semiHidden/>
    <w:locked/>
    <w:uiPriority w:val="99"/>
    <w:rPr>
      <w:rFonts w:ascii="Cambria" w:hAnsi="Cambria" w:eastAsia="宋体" w:cs="Times New Roman"/>
    </w:rPr>
  </w:style>
  <w:style w:type="character" w:customStyle="1" w:styleId="31">
    <w:name w:val="文档结构图 Char"/>
    <w:basedOn w:val="19"/>
    <w:link w:val="11"/>
    <w:semiHidden/>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qFormat/>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qFormat/>
    <w:uiPriority w:val="99"/>
    <w:rPr>
      <w:rFonts w:ascii="Cambria" w:hAnsi="Cambria" w:eastAsia="宋体" w:cs="Times New Roman"/>
      <w:b/>
      <w:i/>
      <w:sz w:val="24"/>
      <w:szCs w:val="24"/>
    </w:rPr>
  </w:style>
  <w:style w:type="paragraph" w:customStyle="1" w:styleId="48">
    <w:name w:val="TOC Heading1"/>
    <w:basedOn w:val="3"/>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41"/>
    <w:basedOn w:val="19"/>
    <w:qFormat/>
    <w:uiPriority w:val="99"/>
    <w:rPr>
      <w:rFonts w:ascii="宋体" w:hAnsi="宋体" w:eastAsia="宋体" w:cs="宋体"/>
      <w:color w:val="000000"/>
      <w:sz w:val="24"/>
      <w:szCs w:val="24"/>
      <w:u w:val="none"/>
    </w:rPr>
  </w:style>
  <w:style w:type="character" w:customStyle="1" w:styleId="52">
    <w:name w:val="font11"/>
    <w:basedOn w:val="19"/>
    <w:qFormat/>
    <w:uiPriority w:val="99"/>
    <w:rPr>
      <w:rFonts w:ascii="Times New Roman" w:hAnsi="Times New Roman" w:cs="Times New Roman"/>
      <w:color w:val="000000"/>
      <w:sz w:val="24"/>
      <w:szCs w:val="24"/>
      <w:u w:val="none"/>
    </w:rPr>
  </w:style>
  <w:style w:type="character" w:customStyle="1" w:styleId="53">
    <w:name w:val="font0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316</Words>
  <Characters>1802</Characters>
  <Lines>15</Lines>
  <Paragraphs>4</Paragraphs>
  <TotalTime>1</TotalTime>
  <ScaleCrop>false</ScaleCrop>
  <LinksUpToDate>false</LinksUpToDate>
  <CharactersWithSpaces>2114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2021-07-12T17:02:55Z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