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eastAsia="Times New Roman"/>
          <w:kern w:val="0"/>
          <w:sz w:val="36"/>
          <w:szCs w:val="36"/>
          <w:lang w:val="zh-TW" w:eastAsia="zh-TW"/>
        </w:rPr>
      </w:pPr>
      <w:r>
        <w:rPr>
          <w:rFonts w:hint="eastAsia" w:ascii="仿宋_GB2312" w:hAnsi="仿宋_GB2312" w:eastAsia="仿宋_GB2312" w:cs="仿宋_GB2312"/>
          <w:kern w:val="0"/>
          <w:sz w:val="36"/>
          <w:szCs w:val="36"/>
          <w:lang w:val="zh-TW" w:eastAsia="zh-TW"/>
        </w:rPr>
        <w:t>（</w:t>
      </w:r>
      <w:r>
        <w:rPr>
          <w:rFonts w:ascii="仿宋_GB2312" w:hAnsi="仿宋_GB2312" w:eastAsia="仿宋_GB2312" w:cs="仿宋_GB2312"/>
          <w:kern w:val="0"/>
          <w:sz w:val="36"/>
          <w:szCs w:val="36"/>
          <w:lang w:val="zh-TW" w:eastAsia="zh-TW"/>
        </w:rPr>
        <w:t>201</w:t>
      </w:r>
      <w:r>
        <w:rPr>
          <w:rFonts w:ascii="仿宋_GB2312" w:hAnsi="仿宋_GB2312" w:eastAsia="仿宋_GB2312" w:cs="仿宋_GB2312"/>
          <w:kern w:val="0"/>
          <w:sz w:val="36"/>
          <w:szCs w:val="36"/>
        </w:rPr>
        <w:t>8</w:t>
      </w:r>
      <w:r>
        <w:rPr>
          <w:rFonts w:hint="eastAsia" w:ascii="仿宋_GB2312" w:hAnsi="仿宋_GB2312" w:eastAsia="仿宋_GB2312" w:cs="仿宋_GB2312"/>
          <w:kern w:val="0"/>
          <w:sz w:val="36"/>
          <w:szCs w:val="36"/>
          <w:lang w:val="zh-TW" w:eastAsia="zh-TW"/>
        </w:rPr>
        <w:t>年度）</w:t>
      </w: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rPr>
          <w:rFonts w:eastAsia="Times New Roman"/>
          <w:kern w:val="0"/>
          <w:sz w:val="30"/>
          <w:szCs w:val="30"/>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项目名称：种畜保险项目</w:t>
      </w:r>
      <w:bookmarkStart w:id="0" w:name="_GoBack"/>
      <w:bookmarkEnd w:id="0"/>
    </w:p>
    <w:p>
      <w:pPr>
        <w:pStyle w:val="50"/>
        <w:spacing w:line="700" w:lineRule="exact"/>
        <w:ind w:firstLine="720" w:firstLineChars="200"/>
        <w:jc w:val="left"/>
        <w:rPr>
          <w:rFonts w:eastAsiaTheme="minorEastAsia"/>
          <w:kern w:val="0"/>
          <w:sz w:val="36"/>
          <w:szCs w:val="36"/>
          <w:lang w:val="zh-TW"/>
        </w:rPr>
      </w:pPr>
      <w:r>
        <w:rPr>
          <w:rFonts w:hint="eastAsia"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eastAsia="仿宋_GB2312"/>
          <w:kern w:val="0"/>
          <w:sz w:val="36"/>
          <w:szCs w:val="36"/>
        </w:rPr>
      </w:pPr>
      <w:r>
        <w:rPr>
          <w:rFonts w:hint="eastAsia"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rPr>
        <w:t>林国印</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填报时间：</w:t>
      </w:r>
      <w:r>
        <w:rPr>
          <w:rFonts w:ascii="仿宋_GB2312" w:hAnsi="仿宋_GB2312" w:eastAsia="仿宋_GB2312" w:cs="仿宋_GB2312"/>
          <w:kern w:val="0"/>
          <w:sz w:val="36"/>
          <w:szCs w:val="36"/>
          <w:lang w:val="zh-TW" w:eastAsia="zh-TW"/>
        </w:rPr>
        <w:t>20</w:t>
      </w:r>
      <w:r>
        <w:rPr>
          <w:rFonts w:ascii="仿宋_GB2312" w:hAnsi="仿宋_GB2312" w:eastAsia="仿宋_GB2312" w:cs="仿宋_GB2312"/>
          <w:kern w:val="0"/>
          <w:sz w:val="36"/>
          <w:szCs w:val="36"/>
        </w:rPr>
        <w:t>1</w:t>
      </w:r>
      <w:r>
        <w:rPr>
          <w:rFonts w:hint="eastAsia" w:ascii="仿宋_GB2312" w:hAnsi="仿宋_GB2312" w:eastAsia="仿宋_GB2312" w:cs="仿宋_GB2312"/>
          <w:kern w:val="0"/>
          <w:sz w:val="36"/>
          <w:szCs w:val="36"/>
        </w:rPr>
        <w:t>8</w:t>
      </w:r>
      <w:r>
        <w:rPr>
          <w:rFonts w:hint="eastAsia" w:ascii="仿宋_GB2312" w:hAnsi="仿宋_GB2312" w:eastAsia="仿宋_GB2312" w:cs="仿宋_GB2312"/>
          <w:kern w:val="0"/>
          <w:sz w:val="36"/>
          <w:szCs w:val="36"/>
          <w:lang w:val="zh-TW" w:eastAsia="zh-TW"/>
        </w:rPr>
        <w:t>年</w:t>
      </w:r>
      <w:r>
        <w:rPr>
          <w:rFonts w:ascii="仿宋_GB2312" w:hAnsi="仿宋_GB2312" w:eastAsia="仿宋_GB2312" w:cs="仿宋_GB2312"/>
          <w:kern w:val="0"/>
          <w:sz w:val="36"/>
          <w:szCs w:val="36"/>
        </w:rPr>
        <w:t>1</w:t>
      </w:r>
      <w:r>
        <w:rPr>
          <w:rFonts w:hint="eastAsia" w:ascii="仿宋_GB2312" w:hAnsi="仿宋_GB2312" w:eastAsia="仿宋_GB2312" w:cs="仿宋_GB2312"/>
          <w:kern w:val="0"/>
          <w:sz w:val="36"/>
          <w:szCs w:val="36"/>
        </w:rPr>
        <w:t>2</w:t>
      </w:r>
      <w:r>
        <w:rPr>
          <w:rFonts w:hint="eastAsia" w:ascii="仿宋_GB2312" w:hAnsi="仿宋_GB2312" w:eastAsia="仿宋_GB2312" w:cs="仿宋_GB2312"/>
          <w:kern w:val="0"/>
          <w:sz w:val="36"/>
          <w:szCs w:val="36"/>
          <w:lang w:val="zh-TW" w:eastAsia="zh-TW"/>
        </w:rPr>
        <w:t>月</w:t>
      </w:r>
      <w:r>
        <w:rPr>
          <w:rFonts w:ascii="仿宋_GB2312" w:hAnsi="仿宋_GB2312" w:eastAsia="仿宋_GB2312" w:cs="仿宋_GB2312"/>
          <w:kern w:val="0"/>
          <w:sz w:val="36"/>
          <w:szCs w:val="36"/>
        </w:rPr>
        <w:t>2</w:t>
      </w:r>
      <w:r>
        <w:rPr>
          <w:rFonts w:hint="eastAsia" w:ascii="仿宋_GB2312" w:hAnsi="仿宋_GB2312" w:eastAsia="仿宋_GB2312" w:cs="仿宋_GB2312"/>
          <w:kern w:val="0"/>
          <w:sz w:val="36"/>
          <w:szCs w:val="36"/>
        </w:rPr>
        <w:t>5</w:t>
      </w:r>
      <w:r>
        <w:rPr>
          <w:rFonts w:hint="eastAsia" w:ascii="仿宋_GB2312" w:hAnsi="仿宋_GB2312" w:eastAsia="仿宋_GB2312" w:cs="仿宋_GB2312"/>
          <w:kern w:val="0"/>
          <w:sz w:val="36"/>
          <w:szCs w:val="36"/>
          <w:lang w:val="zh-TW" w:eastAsia="zh-TW"/>
        </w:rPr>
        <w:t>日</w:t>
      </w:r>
    </w:p>
    <w:p>
      <w:pPr>
        <w:adjustRightInd w:val="0"/>
        <w:snapToGrid w:val="0"/>
        <w:spacing w:line="560" w:lineRule="exact"/>
        <w:ind w:firstLine="723" w:firstLineChars="200"/>
        <w:jc w:val="center"/>
        <w:rPr>
          <w:rFonts w:ascii="黑体" w:hAnsi="黑体" w:eastAsia="黑体" w:cs="宋体"/>
          <w:b/>
          <w:kern w:val="0"/>
          <w:sz w:val="36"/>
          <w:szCs w:val="36"/>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（一）项目单位基本情况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叶城县畜牧兽医局主要职能是负责全县畜牧业技术推广，草原改良，畜牧业资源保护，畜牧业监督，畜牧业质量监督，畜牧业标准化管理，畜牧业项目管理，畜牧业许可管理，畜牧兽医器械产品登记，畜牧兽医器械产品进出口登记，畜禽品登记等工作。</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（二）项目预算绩效目标设定情况</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为513头育肥猪、400头能繁母羊、80头小奶牛和37头大奶牛投保，减少牲畜死亡发病的损失，增加农牧民收入，提高受益人的满意度。</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adjustRightInd w:val="0"/>
        <w:snapToGrid w:val="0"/>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本项目性质为新增项目</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主要用于513头育肥猪、400头能繁母羊、80头小奶牛和37头大奶牛投保。</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种畜保险项目预算安排总额为</w:t>
      </w:r>
      <w:r>
        <w:rPr>
          <w:rFonts w:ascii="仿宋_GB2312" w:eastAsia="仿宋_GB2312"/>
          <w:bCs/>
          <w:kern w:val="0"/>
          <w:sz w:val="32"/>
          <w:szCs w:val="32"/>
        </w:rPr>
        <w:t>160.71</w:t>
      </w:r>
      <w:r>
        <w:rPr>
          <w:rFonts w:hint="eastAsia" w:ascii="仿宋_GB2312" w:eastAsia="仿宋_GB2312"/>
          <w:bCs/>
          <w:kern w:val="0"/>
          <w:sz w:val="32"/>
          <w:szCs w:val="32"/>
        </w:rPr>
        <w:t>万元，其中财政资金</w:t>
      </w:r>
      <w:r>
        <w:rPr>
          <w:rFonts w:ascii="仿宋_GB2312" w:eastAsia="仿宋_GB2312"/>
          <w:bCs/>
          <w:kern w:val="0"/>
          <w:sz w:val="32"/>
          <w:szCs w:val="32"/>
        </w:rPr>
        <w:t>160.71</w:t>
      </w:r>
      <w:r>
        <w:rPr>
          <w:rFonts w:hint="eastAsia" w:ascii="仿宋_GB2312" w:eastAsia="仿宋_GB2312"/>
          <w:bCs/>
          <w:kern w:val="0"/>
          <w:sz w:val="32"/>
          <w:szCs w:val="32"/>
        </w:rPr>
        <w:t>万元，自筹资金</w:t>
      </w:r>
      <w:r>
        <w:rPr>
          <w:rFonts w:ascii="仿宋_GB2312" w:eastAsia="仿宋_GB2312"/>
          <w:bCs/>
          <w:kern w:val="0"/>
          <w:sz w:val="32"/>
          <w:szCs w:val="32"/>
        </w:rPr>
        <w:t>0</w:t>
      </w:r>
      <w:r>
        <w:rPr>
          <w:rFonts w:hint="eastAsia" w:ascii="仿宋_GB2312" w:eastAsia="仿宋_GB2312"/>
          <w:bCs/>
          <w:kern w:val="0"/>
          <w:sz w:val="32"/>
          <w:szCs w:val="32"/>
        </w:rPr>
        <w:t>万元，</w:t>
      </w:r>
      <w:r>
        <w:rPr>
          <w:rFonts w:ascii="仿宋_GB2312" w:eastAsia="仿宋_GB2312"/>
          <w:bCs/>
          <w:kern w:val="0"/>
          <w:sz w:val="32"/>
          <w:szCs w:val="32"/>
        </w:rPr>
        <w:t>2018</w:t>
      </w:r>
      <w:r>
        <w:rPr>
          <w:rFonts w:hint="eastAsia" w:ascii="仿宋_GB2312" w:eastAsia="仿宋_GB2312"/>
          <w:bCs/>
          <w:kern w:val="0"/>
          <w:sz w:val="32"/>
          <w:szCs w:val="32"/>
        </w:rPr>
        <w:t>年实际收到预算资金</w:t>
      </w:r>
      <w:r>
        <w:rPr>
          <w:rFonts w:ascii="仿宋_GB2312" w:eastAsia="仿宋_GB2312"/>
          <w:bCs/>
          <w:kern w:val="0"/>
          <w:sz w:val="32"/>
          <w:szCs w:val="32"/>
        </w:rPr>
        <w:t>160.71</w:t>
      </w:r>
      <w:r>
        <w:rPr>
          <w:rFonts w:hint="eastAsia" w:ascii="仿宋_GB2312" w:eastAsia="仿宋_GB2312"/>
          <w:bCs/>
          <w:kern w:val="0"/>
          <w:sz w:val="32"/>
          <w:szCs w:val="32"/>
        </w:rPr>
        <w:t>万元，资金到位率100%。</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（二）项目资金实际使用情况分析</w:t>
      </w:r>
    </w:p>
    <w:p>
      <w:pPr>
        <w:adjustRightInd w:val="0"/>
        <w:snapToGrid w:val="0"/>
        <w:spacing w:line="560" w:lineRule="exact"/>
        <w:ind w:firstLine="640" w:firstLineChars="200"/>
        <w:outlineLvl w:val="0"/>
        <w:rPr>
          <w:rFonts w:ascii="仿宋_GB2312" w:eastAsia="仿宋_GB2312"/>
          <w:bCs/>
          <w:kern w:val="0"/>
          <w:sz w:val="32"/>
          <w:szCs w:val="32"/>
        </w:rPr>
      </w:pPr>
      <w:r>
        <w:rPr>
          <w:rFonts w:hint="eastAsia" w:ascii="仿宋_GB2312" w:eastAsia="仿宋_GB2312"/>
          <w:bCs/>
          <w:kern w:val="0"/>
          <w:sz w:val="32"/>
          <w:szCs w:val="32"/>
        </w:rPr>
        <w:t>本项目到位资金160.71万元，实际支付资金</w:t>
      </w:r>
      <w:r>
        <w:rPr>
          <w:rFonts w:ascii="仿宋_GB2312" w:eastAsia="仿宋_GB2312"/>
          <w:bCs/>
          <w:kern w:val="0"/>
          <w:sz w:val="32"/>
          <w:szCs w:val="32"/>
        </w:rPr>
        <w:t>160.71</w:t>
      </w:r>
      <w:r>
        <w:rPr>
          <w:rFonts w:hint="eastAsia" w:ascii="仿宋_GB2312" w:eastAsia="仿宋_GB2312"/>
          <w:bCs/>
          <w:kern w:val="0"/>
          <w:sz w:val="32"/>
          <w:szCs w:val="32"/>
        </w:rPr>
        <w:t>万元，预算执行率</w:t>
      </w:r>
      <w:r>
        <w:rPr>
          <w:rFonts w:ascii="仿宋_GB2312" w:eastAsia="仿宋_GB2312"/>
          <w:bCs/>
          <w:kern w:val="0"/>
          <w:sz w:val="32"/>
          <w:szCs w:val="32"/>
        </w:rPr>
        <w:t>100%</w:t>
      </w:r>
      <w:r>
        <w:rPr>
          <w:rFonts w:hint="eastAsia" w:ascii="仿宋_GB2312" w:eastAsia="仿宋_GB2312"/>
          <w:bCs/>
          <w:kern w:val="0"/>
          <w:sz w:val="32"/>
          <w:szCs w:val="32"/>
        </w:rPr>
        <w:t>。项目资金主要用于支付保险费用</w:t>
      </w:r>
      <w:r>
        <w:rPr>
          <w:rFonts w:ascii="仿宋_GB2312" w:eastAsia="仿宋_GB2312"/>
          <w:bCs/>
          <w:kern w:val="0"/>
          <w:sz w:val="32"/>
          <w:szCs w:val="32"/>
        </w:rPr>
        <w:t>160.71</w:t>
      </w:r>
      <w:r>
        <w:rPr>
          <w:rFonts w:hint="eastAsia" w:ascii="仿宋_GB2312" w:eastAsia="仿宋_GB2312"/>
          <w:bCs/>
          <w:kern w:val="0"/>
          <w:sz w:val="32"/>
          <w:szCs w:val="32"/>
        </w:rPr>
        <w:t>万元，无结余资金。</w:t>
      </w:r>
    </w:p>
    <w:p>
      <w:pPr>
        <w:pStyle w:val="50"/>
        <w:spacing w:line="560" w:lineRule="exact"/>
        <w:ind w:firstLine="640" w:firstLineChars="200"/>
        <w:jc w:val="left"/>
        <w:rPr>
          <w:rFonts w:ascii="仿宋_GB2312" w:hAnsi="Times New Roman" w:eastAsia="仿宋_GB2312" w:cs="Times New Roman"/>
          <w:bCs/>
          <w:color w:val="auto"/>
          <w:kern w:val="0"/>
          <w:sz w:val="32"/>
          <w:szCs w:val="32"/>
        </w:rPr>
      </w:pPr>
      <w:r>
        <w:rPr>
          <w:rFonts w:hint="eastAsia" w:ascii="仿宋_GB2312" w:hAnsi="Times New Roman" w:eastAsia="仿宋_GB2312" w:cs="Times New Roman"/>
          <w:bCs/>
          <w:color w:val="auto"/>
          <w:kern w:val="0"/>
          <w:sz w:val="32"/>
          <w:szCs w:val="32"/>
        </w:rPr>
        <w:t>根据中央和自治区项目资金管理办法的要求，叶城县畜牧兽医局严格按照项目资金规定的专项资金支持的项目条件和范围要求，严格按照有关规定使用管理项目资金。</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（三）项目资金管理情况分析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本项目支出喀什地区叶城县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该项目属于经常性零星项目</w:t>
      </w:r>
      <w:r>
        <w:rPr>
          <w:rFonts w:ascii="仿宋_GB2312" w:hAnsi="Arial" w:eastAsia="仿宋_GB2312" w:cs="Arial"/>
          <w:sz w:val="32"/>
          <w:szCs w:val="32"/>
        </w:rPr>
        <w:t>,</w:t>
      </w:r>
      <w:r>
        <w:rPr>
          <w:rFonts w:hint="eastAsia" w:ascii="仿宋_GB2312" w:hAnsi="Arial" w:eastAsia="仿宋_GB2312" w:cs="Arial"/>
          <w:sz w:val="32"/>
          <w:szCs w:val="32"/>
        </w:rPr>
        <w:t>没有达到招投标限额</w:t>
      </w:r>
      <w:r>
        <w:rPr>
          <w:rFonts w:ascii="仿宋_GB2312" w:hAnsi="Arial" w:eastAsia="仿宋_GB2312" w:cs="Arial"/>
          <w:sz w:val="32"/>
          <w:szCs w:val="32"/>
        </w:rPr>
        <w:t>,</w:t>
      </w:r>
      <w:r>
        <w:rPr>
          <w:rFonts w:hint="eastAsia" w:ascii="仿宋_GB2312" w:hAnsi="Arial" w:eastAsia="仿宋_GB2312" w:cs="Arial"/>
          <w:sz w:val="32"/>
          <w:szCs w:val="32"/>
        </w:rPr>
        <w:t>由本单位自行组织实施。实施过程均按照本单位制定的管理制度执行。</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本项目不存在调整情况。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本项目不存在检查验收程序。</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（二）项目管理情况分析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项目的实施遵守相关法律法规和业务管理规定，项目资料齐全并及时归档。已建立《保险项目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_GB2312" w:hAnsi="楷体_GB2312" w:eastAsia="楷体_GB2312" w:cs="楷体_GB2312"/>
          <w:bCs w:val="0"/>
          <w:spacing w:val="-4"/>
          <w:sz w:val="32"/>
          <w:szCs w:val="32"/>
        </w:rPr>
      </w:pPr>
      <w:r>
        <w:rPr>
          <w:rFonts w:hint="eastAsia" w:ascii="楷体_GB2312" w:hAnsi="楷体_GB2312" w:eastAsia="楷体_GB2312" w:cs="楷体_GB2312"/>
          <w:b/>
          <w:spacing w:val="-4"/>
          <w:sz w:val="32"/>
          <w:szCs w:val="32"/>
        </w:rPr>
        <w:t>（一）项目绩效目标完成情况分析</w:t>
      </w:r>
    </w:p>
    <w:p>
      <w:pPr>
        <w:widowControl/>
        <w:spacing w:line="560" w:lineRule="exact"/>
        <w:ind w:firstLine="320" w:firstLineChars="100"/>
        <w:jc w:val="left"/>
        <w:rPr>
          <w:rFonts w:ascii="仿宋_GB2312" w:hAnsi="Arial" w:eastAsia="仿宋_GB2312" w:cs="Arial"/>
          <w:sz w:val="32"/>
          <w:szCs w:val="32"/>
        </w:rPr>
      </w:pPr>
      <w:r>
        <w:rPr>
          <w:rFonts w:hint="eastAsia" w:ascii="仿宋_GB2312" w:hAnsi="Arial" w:eastAsia="仿宋_GB2312" w:cs="Arial"/>
          <w:sz w:val="32"/>
          <w:szCs w:val="32"/>
        </w:rPr>
        <w:t>本项目共设置一级指标</w:t>
      </w:r>
      <w:r>
        <w:rPr>
          <w:rFonts w:ascii="仿宋_GB2312" w:hAnsi="Arial" w:eastAsia="仿宋_GB2312" w:cs="Arial"/>
          <w:sz w:val="32"/>
          <w:szCs w:val="32"/>
        </w:rPr>
        <w:t>3</w:t>
      </w:r>
      <w:r>
        <w:rPr>
          <w:rFonts w:hint="eastAsia" w:ascii="仿宋_GB2312" w:hAnsi="Arial" w:eastAsia="仿宋_GB2312" w:cs="Arial"/>
          <w:sz w:val="32"/>
          <w:szCs w:val="32"/>
        </w:rPr>
        <w:t>个，二级指标</w:t>
      </w:r>
      <w:r>
        <w:rPr>
          <w:rFonts w:ascii="仿宋_GB2312" w:hAnsi="Arial" w:eastAsia="仿宋_GB2312" w:cs="Arial"/>
          <w:sz w:val="32"/>
          <w:szCs w:val="32"/>
        </w:rPr>
        <w:t>9</w:t>
      </w:r>
      <w:r>
        <w:rPr>
          <w:rFonts w:hint="eastAsia" w:ascii="仿宋_GB2312" w:hAnsi="Arial" w:eastAsia="仿宋_GB2312" w:cs="Arial"/>
          <w:sz w:val="32"/>
          <w:szCs w:val="32"/>
        </w:rPr>
        <w:t>个，三级指标</w:t>
      </w:r>
      <w:r>
        <w:rPr>
          <w:rFonts w:ascii="仿宋_GB2312" w:hAnsi="Arial" w:eastAsia="仿宋_GB2312" w:cs="Arial"/>
          <w:sz w:val="32"/>
          <w:szCs w:val="32"/>
        </w:rPr>
        <w:t>20</w:t>
      </w:r>
      <w:r>
        <w:rPr>
          <w:rFonts w:hint="eastAsia" w:ascii="仿宋_GB2312" w:hAnsi="Arial" w:eastAsia="仿宋_GB2312" w:cs="Arial"/>
          <w:sz w:val="32"/>
          <w:szCs w:val="32"/>
        </w:rPr>
        <w:t>个，其中已完成三级指标</w:t>
      </w:r>
      <w:r>
        <w:rPr>
          <w:rFonts w:ascii="仿宋_GB2312" w:hAnsi="Arial" w:eastAsia="仿宋_GB2312" w:cs="Arial"/>
          <w:sz w:val="32"/>
          <w:szCs w:val="32"/>
        </w:rPr>
        <w:t>20</w:t>
      </w:r>
      <w:r>
        <w:rPr>
          <w:rFonts w:hint="eastAsia" w:ascii="仿宋_GB2312" w:hAnsi="Arial" w:eastAsia="仿宋_GB2312" w:cs="Arial"/>
          <w:sz w:val="32"/>
          <w:szCs w:val="32"/>
        </w:rPr>
        <w:t>个，指标完成率为</w:t>
      </w:r>
      <w:r>
        <w:rPr>
          <w:rFonts w:ascii="仿宋_GB2312" w:hAnsi="Arial" w:eastAsia="仿宋_GB2312" w:cs="Arial"/>
          <w:sz w:val="32"/>
          <w:szCs w:val="32"/>
        </w:rPr>
        <w:t>100%</w:t>
      </w:r>
      <w:r>
        <w:rPr>
          <w:rFonts w:hint="eastAsia" w:ascii="仿宋_GB2312" w:hAnsi="Arial" w:eastAsia="仿宋_GB2312" w:cs="Arial"/>
          <w:sz w:val="32"/>
          <w:szCs w:val="32"/>
        </w:rPr>
        <w:t>。根据年初设定的绩效目标，此项目自评得分为90分。</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1.</w:t>
      </w:r>
      <w:r>
        <w:rPr>
          <w:rFonts w:hint="eastAsia" w:ascii="仿宋_GB2312" w:hAnsi="Arial" w:eastAsia="仿宋_GB2312" w:cs="Arial"/>
          <w:sz w:val="32"/>
          <w:szCs w:val="32"/>
        </w:rPr>
        <w:t>产出指标完成情况分析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1</w:t>
      </w:r>
      <w:r>
        <w:rPr>
          <w:rFonts w:hint="eastAsia" w:ascii="仿宋_GB2312" w:hAnsi="Arial" w:eastAsia="仿宋_GB2312" w:cs="Arial"/>
          <w:sz w:val="32"/>
          <w:szCs w:val="32"/>
        </w:rPr>
        <w:t>）项目完成数量</w:t>
      </w:r>
    </w:p>
    <w:p>
      <w:pPr>
        <w:spacing w:line="560" w:lineRule="exact"/>
        <w:ind w:firstLine="1120" w:firstLineChars="350"/>
        <w:rPr>
          <w:rFonts w:ascii="仿宋_GB2312" w:hAnsi="Arial" w:eastAsia="仿宋_GB2312" w:cs="Arial"/>
          <w:sz w:val="32"/>
          <w:szCs w:val="32"/>
        </w:rPr>
      </w:pPr>
      <w:r>
        <w:rPr>
          <w:rFonts w:hint="eastAsia" w:ascii="仿宋_GB2312" w:hAnsi="Arial" w:eastAsia="仿宋_GB2312" w:cs="Arial"/>
          <w:sz w:val="32"/>
          <w:szCs w:val="32"/>
        </w:rPr>
        <w:t>数量指标全部完成。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2</w:t>
      </w:r>
      <w:r>
        <w:rPr>
          <w:rFonts w:hint="eastAsia" w:ascii="仿宋_GB2312" w:hAnsi="Arial" w:eastAsia="仿宋_GB2312" w:cs="Arial"/>
          <w:sz w:val="32"/>
          <w:szCs w:val="32"/>
        </w:rPr>
        <w:t>）项目完成质量</w:t>
      </w:r>
    </w:p>
    <w:p>
      <w:pPr>
        <w:spacing w:line="560" w:lineRule="exact"/>
        <w:ind w:firstLine="960" w:firstLineChars="300"/>
        <w:rPr>
          <w:rFonts w:ascii="仿宋_GB2312" w:hAnsi="Arial" w:eastAsia="仿宋_GB2312" w:cs="Arial"/>
          <w:sz w:val="32"/>
          <w:szCs w:val="32"/>
        </w:rPr>
      </w:pPr>
      <w:r>
        <w:rPr>
          <w:rFonts w:hint="eastAsia" w:ascii="仿宋_GB2312" w:hAnsi="Arial" w:eastAsia="仿宋_GB2312" w:cs="Arial"/>
          <w:sz w:val="32"/>
          <w:szCs w:val="32"/>
        </w:rPr>
        <w:t>保费使用率100%，投保牲畜健康率100%。</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3</w:t>
      </w:r>
      <w:r>
        <w:rPr>
          <w:rFonts w:hint="eastAsia" w:ascii="仿宋_GB2312" w:hAnsi="Arial" w:eastAsia="仿宋_GB2312" w:cs="Arial"/>
          <w:sz w:val="32"/>
          <w:szCs w:val="32"/>
        </w:rPr>
        <w:t>）项目实施进度</w:t>
      </w:r>
    </w:p>
    <w:p>
      <w:pPr>
        <w:spacing w:line="560" w:lineRule="exact"/>
        <w:ind w:firstLine="960" w:firstLineChars="300"/>
        <w:rPr>
          <w:rFonts w:ascii="仿宋_GB2312" w:hAnsi="Arial" w:eastAsia="仿宋_GB2312" w:cs="Arial"/>
          <w:sz w:val="32"/>
          <w:szCs w:val="32"/>
        </w:rPr>
      </w:pPr>
      <w:r>
        <w:rPr>
          <w:rFonts w:hint="eastAsia" w:ascii="仿宋_GB2312" w:hAnsi="Arial" w:eastAsia="仿宋_GB2312" w:cs="Arial"/>
          <w:sz w:val="32"/>
          <w:szCs w:val="32"/>
        </w:rPr>
        <w:t>按照申报目标的进度进行。</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4</w:t>
      </w:r>
      <w:r>
        <w:rPr>
          <w:rFonts w:hint="eastAsia" w:ascii="仿宋_GB2312" w:hAnsi="Arial" w:eastAsia="仿宋_GB2312" w:cs="Arial"/>
          <w:sz w:val="32"/>
          <w:szCs w:val="32"/>
        </w:rPr>
        <w:t>）项目成本节约情况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成本控制价：育肥猪保额</w:t>
      </w:r>
      <w:r>
        <w:rPr>
          <w:rFonts w:ascii="仿宋_GB2312" w:hAnsi="Arial" w:eastAsia="仿宋_GB2312" w:cs="Arial"/>
          <w:sz w:val="32"/>
          <w:szCs w:val="32"/>
        </w:rPr>
        <w:t>800</w:t>
      </w:r>
      <w:r>
        <w:rPr>
          <w:rFonts w:hint="eastAsia" w:ascii="仿宋_GB2312" w:hAnsi="Arial" w:eastAsia="仿宋_GB2312" w:cs="Arial"/>
          <w:sz w:val="32"/>
          <w:szCs w:val="32"/>
        </w:rPr>
        <w:t>元</w:t>
      </w:r>
      <w:r>
        <w:rPr>
          <w:rFonts w:ascii="仿宋_GB2312" w:hAnsi="Arial" w:eastAsia="仿宋_GB2312" w:cs="Arial"/>
          <w:sz w:val="32"/>
          <w:szCs w:val="32"/>
        </w:rPr>
        <w:t>/</w:t>
      </w:r>
      <w:r>
        <w:rPr>
          <w:rFonts w:hint="eastAsia" w:ascii="仿宋_GB2312" w:hAnsi="Arial" w:eastAsia="仿宋_GB2312" w:cs="Arial"/>
          <w:sz w:val="32"/>
          <w:szCs w:val="32"/>
        </w:rPr>
        <w:t>头、能繁母牛保额</w:t>
      </w:r>
      <w:r>
        <w:rPr>
          <w:rFonts w:ascii="仿宋_GB2312" w:hAnsi="Arial" w:eastAsia="仿宋_GB2312" w:cs="Arial"/>
          <w:sz w:val="32"/>
          <w:szCs w:val="32"/>
        </w:rPr>
        <w:t>1000</w:t>
      </w:r>
      <w:r>
        <w:rPr>
          <w:rFonts w:hint="eastAsia" w:ascii="仿宋_GB2312" w:hAnsi="Arial" w:eastAsia="仿宋_GB2312" w:cs="Arial"/>
          <w:sz w:val="32"/>
          <w:szCs w:val="32"/>
        </w:rPr>
        <w:t>元</w:t>
      </w:r>
      <w:r>
        <w:rPr>
          <w:rFonts w:ascii="仿宋_GB2312" w:hAnsi="Arial" w:eastAsia="仿宋_GB2312" w:cs="Arial"/>
          <w:sz w:val="32"/>
          <w:szCs w:val="32"/>
        </w:rPr>
        <w:t>/</w:t>
      </w:r>
      <w:r>
        <w:rPr>
          <w:rFonts w:hint="eastAsia" w:ascii="仿宋_GB2312" w:hAnsi="Arial" w:eastAsia="仿宋_GB2312" w:cs="Arial"/>
          <w:sz w:val="32"/>
          <w:szCs w:val="32"/>
        </w:rPr>
        <w:t>头、小奶牛保额</w:t>
      </w:r>
      <w:r>
        <w:rPr>
          <w:rFonts w:ascii="仿宋_GB2312" w:hAnsi="Arial" w:eastAsia="仿宋_GB2312" w:cs="Arial"/>
          <w:sz w:val="32"/>
          <w:szCs w:val="32"/>
        </w:rPr>
        <w:t>6250</w:t>
      </w:r>
      <w:r>
        <w:rPr>
          <w:rFonts w:hint="eastAsia" w:ascii="仿宋_GB2312" w:hAnsi="Arial" w:eastAsia="仿宋_GB2312" w:cs="Arial"/>
          <w:sz w:val="32"/>
          <w:szCs w:val="32"/>
        </w:rPr>
        <w:t>元</w:t>
      </w:r>
      <w:r>
        <w:rPr>
          <w:rFonts w:ascii="仿宋_GB2312" w:hAnsi="Arial" w:eastAsia="仿宋_GB2312" w:cs="Arial"/>
          <w:sz w:val="32"/>
          <w:szCs w:val="32"/>
        </w:rPr>
        <w:t>/</w:t>
      </w:r>
      <w:r>
        <w:rPr>
          <w:rFonts w:hint="eastAsia" w:ascii="仿宋_GB2312" w:hAnsi="Arial" w:eastAsia="仿宋_GB2312" w:cs="Arial"/>
          <w:sz w:val="32"/>
          <w:szCs w:val="32"/>
        </w:rPr>
        <w:t>头、大奶牛保额</w:t>
      </w:r>
      <w:r>
        <w:rPr>
          <w:rFonts w:ascii="仿宋_GB2312" w:hAnsi="Arial" w:eastAsia="仿宋_GB2312" w:cs="Arial"/>
          <w:sz w:val="32"/>
          <w:szCs w:val="32"/>
        </w:rPr>
        <w:t>8000</w:t>
      </w:r>
      <w:r>
        <w:rPr>
          <w:rFonts w:hint="eastAsia" w:ascii="仿宋_GB2312" w:hAnsi="Arial" w:eastAsia="仿宋_GB2312" w:cs="Arial"/>
          <w:sz w:val="32"/>
          <w:szCs w:val="32"/>
        </w:rPr>
        <w:t>元</w:t>
      </w:r>
      <w:r>
        <w:rPr>
          <w:rFonts w:ascii="仿宋_GB2312" w:hAnsi="Arial" w:eastAsia="仿宋_GB2312" w:cs="Arial"/>
          <w:sz w:val="32"/>
          <w:szCs w:val="32"/>
        </w:rPr>
        <w:t>/</w:t>
      </w:r>
      <w:r>
        <w:rPr>
          <w:rFonts w:hint="eastAsia" w:ascii="仿宋_GB2312" w:hAnsi="Arial" w:eastAsia="仿宋_GB2312" w:cs="Arial"/>
          <w:sz w:val="32"/>
          <w:szCs w:val="32"/>
        </w:rPr>
        <w:t>头。保险费用支出</w:t>
      </w:r>
      <w:r>
        <w:rPr>
          <w:rFonts w:ascii="仿宋_GB2312" w:hAnsi="Arial" w:eastAsia="仿宋_GB2312" w:cs="Arial"/>
          <w:sz w:val="32"/>
          <w:szCs w:val="32"/>
        </w:rPr>
        <w:t>160.71</w:t>
      </w:r>
      <w:r>
        <w:rPr>
          <w:rFonts w:hint="eastAsia" w:ascii="仿宋_GB2312" w:hAnsi="Arial" w:eastAsia="仿宋_GB2312" w:cs="Arial"/>
          <w:sz w:val="32"/>
          <w:szCs w:val="32"/>
        </w:rPr>
        <w:t>元。</w:t>
      </w:r>
      <w:r>
        <w:rPr>
          <w:rFonts w:ascii="仿宋_GB2312" w:hAnsi="Arial" w:eastAsia="仿宋_GB2312" w:cs="Arial"/>
          <w:sz w:val="32"/>
          <w:szCs w:val="32"/>
        </w:rPr>
        <w:tab/>
      </w:r>
    </w:p>
    <w:p>
      <w:pPr>
        <w:spacing w:line="560" w:lineRule="exact"/>
        <w:ind w:firstLine="960" w:firstLineChars="300"/>
        <w:rPr>
          <w:rFonts w:ascii="仿宋_GB2312" w:hAnsi="Arial" w:eastAsia="仿宋_GB2312" w:cs="Arial"/>
          <w:sz w:val="32"/>
          <w:szCs w:val="32"/>
        </w:rPr>
      </w:pPr>
      <w:r>
        <w:rPr>
          <w:rFonts w:ascii="仿宋_GB2312" w:hAnsi="Arial" w:eastAsia="仿宋_GB2312" w:cs="Arial"/>
          <w:sz w:val="32"/>
          <w:szCs w:val="32"/>
        </w:rPr>
        <w:t>2.</w:t>
      </w:r>
      <w:r>
        <w:rPr>
          <w:rFonts w:hint="eastAsia" w:ascii="仿宋_GB2312" w:hAnsi="Arial" w:eastAsia="仿宋_GB2312" w:cs="Arial"/>
          <w:sz w:val="32"/>
          <w:szCs w:val="32"/>
        </w:rPr>
        <w:t>效益指标完成情况分析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1</w:t>
      </w:r>
      <w:r>
        <w:rPr>
          <w:rFonts w:hint="eastAsia" w:ascii="仿宋_GB2312" w:hAnsi="Arial" w:eastAsia="仿宋_GB2312" w:cs="Arial"/>
          <w:sz w:val="32"/>
          <w:szCs w:val="32"/>
        </w:rPr>
        <w:t>）项目实施的经济效益分析</w:t>
      </w:r>
    </w:p>
    <w:p>
      <w:pPr>
        <w:spacing w:line="560" w:lineRule="exact"/>
        <w:ind w:firstLine="960" w:firstLineChars="300"/>
        <w:rPr>
          <w:rFonts w:ascii="仿宋_GB2312" w:hAnsi="Arial" w:eastAsia="仿宋_GB2312" w:cs="Arial"/>
          <w:sz w:val="32"/>
          <w:szCs w:val="32"/>
        </w:rPr>
      </w:pPr>
      <w:r>
        <w:rPr>
          <w:rFonts w:hint="eastAsia" w:ascii="仿宋_GB2312" w:hAnsi="Arial" w:eastAsia="仿宋_GB2312" w:cs="Arial"/>
          <w:sz w:val="32"/>
          <w:szCs w:val="32"/>
        </w:rPr>
        <w:t>本项目实施每年可增加农牧民人均收入3000元。</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2</w:t>
      </w:r>
      <w:r>
        <w:rPr>
          <w:rFonts w:hint="eastAsia" w:ascii="仿宋_GB2312" w:hAnsi="Arial" w:eastAsia="仿宋_GB2312" w:cs="Arial"/>
          <w:sz w:val="32"/>
          <w:szCs w:val="32"/>
        </w:rPr>
        <w:t>）项目实施的社会效益分析</w:t>
      </w:r>
    </w:p>
    <w:p>
      <w:pPr>
        <w:spacing w:line="560" w:lineRule="exact"/>
        <w:ind w:firstLine="960" w:firstLineChars="300"/>
        <w:rPr>
          <w:rFonts w:ascii="仿宋_GB2312" w:hAnsi="Arial" w:eastAsia="仿宋_GB2312" w:cs="Arial"/>
          <w:sz w:val="32"/>
          <w:szCs w:val="32"/>
        </w:rPr>
      </w:pPr>
      <w:r>
        <w:rPr>
          <w:rFonts w:hint="eastAsia" w:ascii="仿宋_GB2312" w:hAnsi="Arial" w:eastAsia="仿宋_GB2312" w:cs="Arial"/>
          <w:sz w:val="32"/>
          <w:szCs w:val="32"/>
        </w:rPr>
        <w:t>本项目实施可有效提高饲养牲畜积极性，降低养殖风险以及死亡赔付率。</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3</w:t>
      </w:r>
      <w:r>
        <w:rPr>
          <w:rFonts w:hint="eastAsia" w:ascii="仿宋_GB2312" w:hAnsi="Arial" w:eastAsia="仿宋_GB2312" w:cs="Arial"/>
          <w:sz w:val="32"/>
          <w:szCs w:val="32"/>
        </w:rPr>
        <w:t>）项目实施的生态效益分析</w:t>
      </w:r>
    </w:p>
    <w:p>
      <w:pPr>
        <w:spacing w:line="560" w:lineRule="exact"/>
        <w:ind w:firstLine="960" w:firstLineChars="300"/>
        <w:rPr>
          <w:rFonts w:ascii="仿宋_GB2312" w:hAnsi="Arial" w:eastAsia="仿宋_GB2312" w:cs="Arial"/>
          <w:sz w:val="32"/>
          <w:szCs w:val="32"/>
        </w:rPr>
      </w:pPr>
      <w:r>
        <w:rPr>
          <w:rFonts w:hint="eastAsia" w:ascii="仿宋_GB2312" w:hAnsi="Arial" w:eastAsia="仿宋_GB2312" w:cs="Arial"/>
          <w:sz w:val="32"/>
          <w:szCs w:val="32"/>
        </w:rPr>
        <w:t>本项目实施有效挺高有机肥利用率，优化环境，降低污染，提高粪污资源化利用率。</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4</w:t>
      </w:r>
      <w:r>
        <w:rPr>
          <w:rFonts w:hint="eastAsia" w:ascii="仿宋_GB2312" w:hAnsi="Arial" w:eastAsia="仿宋_GB2312" w:cs="Arial"/>
          <w:sz w:val="32"/>
          <w:szCs w:val="32"/>
        </w:rPr>
        <w:t>）项目实施的可持续影响分析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本项目实施可有效提高本年度养殖业的良性发展以及环境可持续发展。</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3.</w:t>
      </w:r>
      <w:r>
        <w:rPr>
          <w:rFonts w:hint="eastAsia" w:ascii="仿宋_GB2312" w:hAnsi="Arial" w:eastAsia="仿宋_GB2312" w:cs="Arial"/>
          <w:sz w:val="32"/>
          <w:szCs w:val="32"/>
        </w:rPr>
        <w:t>满意度指标完成情况分析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按计划完成项目实施，已做满意度调查问卷，受益人员满意率达98%，服务对象满意度指标完成。</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adjustRightInd w:val="0"/>
        <w:snapToGrid w:val="0"/>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2018</w:t>
      </w:r>
      <w:r>
        <w:rPr>
          <w:rFonts w:hint="eastAsia" w:ascii="仿宋_GB2312" w:hAnsi="Arial" w:eastAsia="仿宋_GB2312" w:cs="Arial"/>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（一）后续工作计划</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投保牲畜死亡或出现生病情况，符合保险合同的，依法找保险公司赔偿。</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项目的实施要严格按照项目实施方案进行，保证进度能按时间节点完成。</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由于绩效自评是一项开展不久的工作任务，相关制度建设还有待进一步加强。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spacing w:line="560" w:lineRule="exact"/>
        <w:ind w:firstLine="640" w:firstLineChars="200"/>
      </w:pPr>
      <w:r>
        <w:rPr>
          <w:rFonts w:hint="eastAsia" w:ascii="仿宋_GB2312" w:hAnsi="仿宋_GB2312" w:eastAsia="仿宋_GB2312" w:cs="仿宋_GB2312"/>
          <w:sz w:val="32"/>
          <w:szCs w:val="32"/>
        </w:rPr>
        <w:t>对项目实施过程中出现的关键问题进行重点督查，要求相关人员限时整改。</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次评价通过文件研读、实地调研、数据分析等方式，全面了解保险项目资金的使用效率和效果，项目管理过程是否规范，是否完成了预期绩效目标等。同时，通过开展自我评价来总结经验和教训，为喀什地区保险项目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468" w:firstLineChars="15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《项目支出绩效目标自评表》</w:t>
      </w:r>
    </w:p>
    <w:p>
      <w:pPr>
        <w:adjustRightInd w:val="0"/>
        <w:snapToGrid w:val="0"/>
        <w:spacing w:line="560" w:lineRule="exact"/>
        <w:rPr>
          <w:rStyle w:val="20"/>
          <w:rFonts w:ascii="仿宋" w:hAnsi="仿宋" w:eastAsia="仿宋"/>
          <w:spacing w:val="-4"/>
          <w:sz w:val="32"/>
          <w:szCs w:val="32"/>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5</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03512"/>
    <w:multiLevelType w:val="singleLevel"/>
    <w:tmpl w:val="A6703512"/>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E1270"/>
    <w:rsid w:val="00102578"/>
    <w:rsid w:val="0012208E"/>
    <w:rsid w:val="00135256"/>
    <w:rsid w:val="0017688B"/>
    <w:rsid w:val="001A4E1F"/>
    <w:rsid w:val="001A57B9"/>
    <w:rsid w:val="001C3847"/>
    <w:rsid w:val="001F3031"/>
    <w:rsid w:val="00210A26"/>
    <w:rsid w:val="00297896"/>
    <w:rsid w:val="002A2532"/>
    <w:rsid w:val="002D3AB5"/>
    <w:rsid w:val="002F30D4"/>
    <w:rsid w:val="00365250"/>
    <w:rsid w:val="0036624C"/>
    <w:rsid w:val="00385849"/>
    <w:rsid w:val="003904F5"/>
    <w:rsid w:val="003A5F23"/>
    <w:rsid w:val="003E394F"/>
    <w:rsid w:val="004E43AD"/>
    <w:rsid w:val="0050167F"/>
    <w:rsid w:val="00514506"/>
    <w:rsid w:val="005162F1"/>
    <w:rsid w:val="00530B23"/>
    <w:rsid w:val="00535153"/>
    <w:rsid w:val="00575CFE"/>
    <w:rsid w:val="00592D09"/>
    <w:rsid w:val="00673478"/>
    <w:rsid w:val="00675D58"/>
    <w:rsid w:val="006B5975"/>
    <w:rsid w:val="006F2E6D"/>
    <w:rsid w:val="00717E5B"/>
    <w:rsid w:val="007218B8"/>
    <w:rsid w:val="00722EE8"/>
    <w:rsid w:val="00785FDE"/>
    <w:rsid w:val="007A0351"/>
    <w:rsid w:val="007A14BC"/>
    <w:rsid w:val="007B408D"/>
    <w:rsid w:val="007C1025"/>
    <w:rsid w:val="007D7DF7"/>
    <w:rsid w:val="007E6845"/>
    <w:rsid w:val="007F5F8A"/>
    <w:rsid w:val="00826CA1"/>
    <w:rsid w:val="00835B7F"/>
    <w:rsid w:val="00836B01"/>
    <w:rsid w:val="00855E3A"/>
    <w:rsid w:val="009221FF"/>
    <w:rsid w:val="00922CB9"/>
    <w:rsid w:val="0095501F"/>
    <w:rsid w:val="00970F63"/>
    <w:rsid w:val="009A507F"/>
    <w:rsid w:val="009B526F"/>
    <w:rsid w:val="009C1AFD"/>
    <w:rsid w:val="00A26421"/>
    <w:rsid w:val="00A4293B"/>
    <w:rsid w:val="00A83BD5"/>
    <w:rsid w:val="00B06CA5"/>
    <w:rsid w:val="00B41F61"/>
    <w:rsid w:val="00B55332"/>
    <w:rsid w:val="00B86E8C"/>
    <w:rsid w:val="00BE1A00"/>
    <w:rsid w:val="00C22CF0"/>
    <w:rsid w:val="00C56C72"/>
    <w:rsid w:val="00C84DFC"/>
    <w:rsid w:val="00CA6457"/>
    <w:rsid w:val="00CB0B2C"/>
    <w:rsid w:val="00CC6E4D"/>
    <w:rsid w:val="00D17F2E"/>
    <w:rsid w:val="00D46194"/>
    <w:rsid w:val="00DA3B52"/>
    <w:rsid w:val="00DC38B6"/>
    <w:rsid w:val="00DD0BBD"/>
    <w:rsid w:val="00DF5B20"/>
    <w:rsid w:val="00E01293"/>
    <w:rsid w:val="00E769FE"/>
    <w:rsid w:val="00E82649"/>
    <w:rsid w:val="00EA2CBE"/>
    <w:rsid w:val="00F32FEE"/>
    <w:rsid w:val="00FB15E0"/>
    <w:rsid w:val="00FC1FAF"/>
    <w:rsid w:val="0834581D"/>
    <w:rsid w:val="2582551A"/>
    <w:rsid w:val="2693448E"/>
    <w:rsid w:val="2B7E0307"/>
    <w:rsid w:val="32876BC1"/>
    <w:rsid w:val="4022226E"/>
    <w:rsid w:val="432E5514"/>
    <w:rsid w:val="667C3E33"/>
    <w:rsid w:val="704A2244"/>
    <w:rsid w:val="74BF2D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nhideWhenUsed="0" w:uiPriority="99" w:semiHidden="0"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1"/>
    <w:uiPriority w:val="99"/>
    <w:rPr>
      <w:rFonts w:ascii="宋体"/>
      <w:sz w:val="18"/>
      <w:szCs w:val="18"/>
    </w:rPr>
  </w:style>
  <w:style w:type="paragraph" w:styleId="12">
    <w:name w:val="Balloon Text"/>
    <w:basedOn w:val="1"/>
    <w:link w:val="32"/>
    <w:uiPriority w:val="99"/>
    <w:rPr>
      <w:sz w:val="18"/>
      <w:szCs w:val="18"/>
    </w:rPr>
  </w:style>
  <w:style w:type="paragraph" w:styleId="13">
    <w:name w:val="footer"/>
    <w:basedOn w:val="1"/>
    <w:link w:val="33"/>
    <w:uiPriority w:val="99"/>
    <w:pPr>
      <w:tabs>
        <w:tab w:val="center" w:pos="4153"/>
        <w:tab w:val="right" w:pos="8306"/>
      </w:tabs>
      <w:snapToGrid w:val="0"/>
      <w:jc w:val="left"/>
    </w:pPr>
    <w:rPr>
      <w:rFonts w:ascii="Calibri" w:hAnsi="Calibri"/>
      <w:sz w:val="18"/>
      <w:szCs w:val="18"/>
    </w:rPr>
  </w:style>
  <w:style w:type="paragraph" w:styleId="14">
    <w:name w:val="header"/>
    <w:basedOn w:val="1"/>
    <w:link w:val="34"/>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240"/>
      <w:jc w:val="left"/>
    </w:pPr>
    <w:rPr>
      <w:rFonts w:ascii="宋体" w:hAnsi="宋体" w:cs="宋体"/>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标题 1 Char"/>
    <w:basedOn w:val="19"/>
    <w:link w:val="2"/>
    <w:qFormat/>
    <w:locked/>
    <w:uiPriority w:val="99"/>
    <w:rPr>
      <w:rFonts w:ascii="Cambria" w:hAnsi="Cambria" w:eastAsia="宋体" w:cs="Times New Roman"/>
      <w:b/>
      <w:bCs/>
      <w:kern w:val="32"/>
      <w:sz w:val="32"/>
      <w:szCs w:val="32"/>
    </w:rPr>
  </w:style>
  <w:style w:type="character" w:customStyle="1" w:styleId="23">
    <w:name w:val="标题 2 Char"/>
    <w:basedOn w:val="19"/>
    <w:link w:val="3"/>
    <w:semiHidden/>
    <w:locked/>
    <w:uiPriority w:val="99"/>
    <w:rPr>
      <w:rFonts w:ascii="Cambria" w:hAnsi="Cambria" w:eastAsia="宋体" w:cs="Times New Roman"/>
      <w:b/>
      <w:bCs/>
      <w:i/>
      <w:iCs/>
      <w:sz w:val="28"/>
      <w:szCs w:val="28"/>
    </w:rPr>
  </w:style>
  <w:style w:type="character" w:customStyle="1" w:styleId="24">
    <w:name w:val="标题 3 Char"/>
    <w:basedOn w:val="19"/>
    <w:link w:val="4"/>
    <w:semiHidden/>
    <w:locked/>
    <w:uiPriority w:val="99"/>
    <w:rPr>
      <w:rFonts w:ascii="Cambria" w:hAnsi="Cambria" w:eastAsia="宋体" w:cs="Times New Roman"/>
      <w:b/>
      <w:bCs/>
      <w:sz w:val="26"/>
      <w:szCs w:val="26"/>
    </w:rPr>
  </w:style>
  <w:style w:type="character" w:customStyle="1" w:styleId="25">
    <w:name w:val="标题 4 Char"/>
    <w:basedOn w:val="19"/>
    <w:link w:val="5"/>
    <w:semiHidden/>
    <w:locked/>
    <w:uiPriority w:val="99"/>
    <w:rPr>
      <w:rFonts w:cs="Times New Roman"/>
      <w:b/>
      <w:bCs/>
      <w:sz w:val="28"/>
      <w:szCs w:val="28"/>
    </w:rPr>
  </w:style>
  <w:style w:type="character" w:customStyle="1" w:styleId="26">
    <w:name w:val="标题 5 Char"/>
    <w:basedOn w:val="19"/>
    <w:link w:val="6"/>
    <w:semiHidden/>
    <w:locked/>
    <w:uiPriority w:val="99"/>
    <w:rPr>
      <w:rFonts w:cs="Times New Roman"/>
      <w:b/>
      <w:bCs/>
      <w:i/>
      <w:iCs/>
      <w:sz w:val="26"/>
      <w:szCs w:val="26"/>
    </w:rPr>
  </w:style>
  <w:style w:type="character" w:customStyle="1" w:styleId="27">
    <w:name w:val="标题 6 Char"/>
    <w:basedOn w:val="19"/>
    <w:link w:val="7"/>
    <w:semiHidden/>
    <w:locked/>
    <w:uiPriority w:val="99"/>
    <w:rPr>
      <w:rFonts w:cs="Times New Roman"/>
      <w:b/>
      <w:bCs/>
    </w:rPr>
  </w:style>
  <w:style w:type="character" w:customStyle="1" w:styleId="28">
    <w:name w:val="标题 7 Char"/>
    <w:basedOn w:val="19"/>
    <w:link w:val="8"/>
    <w:semiHidden/>
    <w:locked/>
    <w:uiPriority w:val="99"/>
    <w:rPr>
      <w:rFonts w:cs="Times New Roman"/>
      <w:sz w:val="24"/>
      <w:szCs w:val="24"/>
    </w:rPr>
  </w:style>
  <w:style w:type="character" w:customStyle="1" w:styleId="29">
    <w:name w:val="标题 8 Char"/>
    <w:basedOn w:val="19"/>
    <w:link w:val="9"/>
    <w:semiHidden/>
    <w:locked/>
    <w:uiPriority w:val="99"/>
    <w:rPr>
      <w:rFonts w:cs="Times New Roman"/>
      <w:i/>
      <w:iCs/>
      <w:sz w:val="24"/>
      <w:szCs w:val="24"/>
    </w:rPr>
  </w:style>
  <w:style w:type="character" w:customStyle="1" w:styleId="30">
    <w:name w:val="标题 9 Char"/>
    <w:basedOn w:val="19"/>
    <w:link w:val="10"/>
    <w:semiHidden/>
    <w:locked/>
    <w:uiPriority w:val="99"/>
    <w:rPr>
      <w:rFonts w:ascii="Cambria" w:hAnsi="Cambria" w:eastAsia="宋体" w:cs="Times New Roman"/>
    </w:rPr>
  </w:style>
  <w:style w:type="character" w:customStyle="1" w:styleId="31">
    <w:name w:val="文档结构图 Char"/>
    <w:basedOn w:val="19"/>
    <w:link w:val="11"/>
    <w:semiHidden/>
    <w:locked/>
    <w:uiPriority w:val="99"/>
    <w:rPr>
      <w:rFonts w:ascii="宋体" w:hAnsi="Times New Roman" w:eastAsia="宋体" w:cs="Times New Roman"/>
      <w:kern w:val="2"/>
      <w:sz w:val="18"/>
      <w:szCs w:val="18"/>
    </w:rPr>
  </w:style>
  <w:style w:type="character" w:customStyle="1" w:styleId="32">
    <w:name w:val="批注框文本 Char"/>
    <w:basedOn w:val="19"/>
    <w:link w:val="12"/>
    <w:semiHidden/>
    <w:locked/>
    <w:uiPriority w:val="99"/>
    <w:rPr>
      <w:rFonts w:ascii="Times New Roman" w:hAnsi="Times New Roman" w:eastAsia="宋体" w:cs="Times New Roman"/>
      <w:kern w:val="2"/>
      <w:sz w:val="18"/>
      <w:szCs w:val="18"/>
    </w:rPr>
  </w:style>
  <w:style w:type="character" w:customStyle="1" w:styleId="33">
    <w:name w:val="页脚 Char"/>
    <w:basedOn w:val="19"/>
    <w:link w:val="13"/>
    <w:locked/>
    <w:uiPriority w:val="99"/>
    <w:rPr>
      <w:rFonts w:ascii="Calibri" w:hAnsi="Calibri" w:eastAsia="宋体" w:cs="Times New Roman"/>
      <w:kern w:val="2"/>
      <w:sz w:val="18"/>
      <w:szCs w:val="18"/>
    </w:rPr>
  </w:style>
  <w:style w:type="character" w:customStyle="1" w:styleId="34">
    <w:name w:val="页眉 Char"/>
    <w:basedOn w:val="19"/>
    <w:link w:val="14"/>
    <w:locked/>
    <w:uiPriority w:val="99"/>
    <w:rPr>
      <w:rFonts w:ascii="Calibri" w:hAnsi="Calibri" w:eastAsia="宋体" w:cs="Times New Roman"/>
      <w:kern w:val="2"/>
      <w:sz w:val="18"/>
      <w:szCs w:val="18"/>
    </w:rPr>
  </w:style>
  <w:style w:type="character" w:customStyle="1" w:styleId="35">
    <w:name w:val="副标题 Char"/>
    <w:basedOn w:val="19"/>
    <w:link w:val="15"/>
    <w:locked/>
    <w:uiPriority w:val="99"/>
    <w:rPr>
      <w:rFonts w:ascii="Cambria" w:hAnsi="Cambria" w:eastAsia="宋体" w:cs="Times New Roman"/>
      <w:sz w:val="24"/>
      <w:szCs w:val="24"/>
    </w:rPr>
  </w:style>
  <w:style w:type="character" w:customStyle="1" w:styleId="36">
    <w:name w:val="标题 Char"/>
    <w:basedOn w:val="19"/>
    <w:link w:val="17"/>
    <w:locked/>
    <w:uiPriority w:val="99"/>
    <w:rPr>
      <w:rFonts w:ascii="Cambria" w:hAnsi="Cambria" w:eastAsia="宋体" w:cs="Times New Roman"/>
      <w:b/>
      <w:bCs/>
      <w:kern w:val="28"/>
      <w:sz w:val="32"/>
      <w:szCs w:val="32"/>
    </w:rPr>
  </w:style>
  <w:style w:type="paragraph" w:customStyle="1" w:styleId="37">
    <w:name w:val="No Spacing1"/>
    <w:basedOn w:val="1"/>
    <w:uiPriority w:val="99"/>
    <w:pPr>
      <w:widowControl/>
      <w:jc w:val="left"/>
    </w:pPr>
    <w:rPr>
      <w:rFonts w:ascii="Calibri" w:hAnsi="Calibri"/>
      <w:kern w:val="0"/>
      <w:sz w:val="24"/>
      <w:szCs w:val="32"/>
      <w:lang w:eastAsia="en-US"/>
    </w:rPr>
  </w:style>
  <w:style w:type="paragraph" w:customStyle="1" w:styleId="38">
    <w:name w:val="List Paragraph1"/>
    <w:basedOn w:val="1"/>
    <w:uiPriority w:val="99"/>
    <w:pPr>
      <w:widowControl/>
      <w:ind w:left="720"/>
      <w:contextualSpacing/>
      <w:jc w:val="left"/>
    </w:pPr>
    <w:rPr>
      <w:rFonts w:ascii="Calibri" w:hAnsi="Calibri"/>
      <w:kern w:val="0"/>
      <w:sz w:val="24"/>
      <w:lang w:eastAsia="en-US"/>
    </w:rPr>
  </w:style>
  <w:style w:type="paragraph" w:customStyle="1" w:styleId="39">
    <w:name w:val="Quote1"/>
    <w:basedOn w:val="1"/>
    <w:next w:val="1"/>
    <w:link w:val="40"/>
    <w:uiPriority w:val="99"/>
    <w:pPr>
      <w:widowControl/>
      <w:jc w:val="left"/>
    </w:pPr>
    <w:rPr>
      <w:rFonts w:ascii="Calibri" w:hAnsi="Calibri"/>
      <w:i/>
      <w:kern w:val="0"/>
      <w:sz w:val="24"/>
    </w:rPr>
  </w:style>
  <w:style w:type="character" w:customStyle="1" w:styleId="40">
    <w:name w:val="引用 Char"/>
    <w:basedOn w:val="19"/>
    <w:link w:val="39"/>
    <w:locked/>
    <w:uiPriority w:val="99"/>
    <w:rPr>
      <w:rFonts w:cs="Times New Roman"/>
      <w:i/>
      <w:sz w:val="24"/>
      <w:szCs w:val="24"/>
    </w:rPr>
  </w:style>
  <w:style w:type="paragraph" w:customStyle="1" w:styleId="41">
    <w:name w:val="Intense Quote1"/>
    <w:basedOn w:val="1"/>
    <w:next w:val="1"/>
    <w:link w:val="42"/>
    <w:uiPriority w:val="99"/>
    <w:pPr>
      <w:widowControl/>
      <w:ind w:left="720" w:right="720"/>
      <w:jc w:val="left"/>
    </w:pPr>
    <w:rPr>
      <w:rFonts w:ascii="Calibri" w:hAnsi="Calibri"/>
      <w:b/>
      <w:i/>
      <w:kern w:val="0"/>
      <w:sz w:val="24"/>
      <w:szCs w:val="22"/>
    </w:rPr>
  </w:style>
  <w:style w:type="character" w:customStyle="1" w:styleId="42">
    <w:name w:val="明显引用 Char"/>
    <w:basedOn w:val="19"/>
    <w:link w:val="41"/>
    <w:locked/>
    <w:uiPriority w:val="99"/>
    <w:rPr>
      <w:rFonts w:cs="Times New Roman"/>
      <w:b/>
      <w:i/>
      <w:sz w:val="24"/>
    </w:rPr>
  </w:style>
  <w:style w:type="character" w:customStyle="1" w:styleId="43">
    <w:name w:val="Subtle Emphasis1"/>
    <w:uiPriority w:val="99"/>
    <w:rPr>
      <w:i/>
      <w:color w:val="595959"/>
    </w:rPr>
  </w:style>
  <w:style w:type="character" w:customStyle="1" w:styleId="44">
    <w:name w:val="Intense Emphasis1"/>
    <w:basedOn w:val="19"/>
    <w:uiPriority w:val="99"/>
    <w:rPr>
      <w:rFonts w:cs="Times New Roman"/>
      <w:b/>
      <w:i/>
      <w:sz w:val="24"/>
      <w:szCs w:val="24"/>
      <w:u w:val="single"/>
    </w:rPr>
  </w:style>
  <w:style w:type="character" w:customStyle="1" w:styleId="45">
    <w:name w:val="Subtle Reference1"/>
    <w:basedOn w:val="19"/>
    <w:uiPriority w:val="99"/>
    <w:rPr>
      <w:rFonts w:cs="Times New Roman"/>
      <w:sz w:val="24"/>
      <w:szCs w:val="24"/>
      <w:u w:val="single"/>
    </w:rPr>
  </w:style>
  <w:style w:type="character" w:customStyle="1" w:styleId="46">
    <w:name w:val="Intense Reference1"/>
    <w:basedOn w:val="19"/>
    <w:uiPriority w:val="99"/>
    <w:rPr>
      <w:rFonts w:cs="Times New Roman"/>
      <w:b/>
      <w:sz w:val="24"/>
      <w:u w:val="single"/>
    </w:rPr>
  </w:style>
  <w:style w:type="character" w:customStyle="1" w:styleId="47">
    <w:name w:val="Book Title1"/>
    <w:basedOn w:val="19"/>
    <w:uiPriority w:val="99"/>
    <w:rPr>
      <w:rFonts w:ascii="Cambria" w:hAnsi="Cambria" w:eastAsia="宋体" w:cs="Times New Roman"/>
      <w:b/>
      <w:i/>
      <w:sz w:val="24"/>
      <w:szCs w:val="24"/>
    </w:rPr>
  </w:style>
  <w:style w:type="paragraph" w:customStyle="1" w:styleId="48">
    <w:name w:val="TOC Heading1"/>
    <w:basedOn w:val="2"/>
    <w:next w:val="1"/>
    <w:qFormat/>
    <w:uiPriority w:val="99"/>
    <w:pPr>
      <w:outlineLvl w:val="9"/>
    </w:pPr>
    <w:rPr>
      <w:lang w:eastAsia="en-US"/>
    </w:rPr>
  </w:style>
  <w:style w:type="paragraph" w:customStyle="1" w:styleId="49">
    <w:name w:val="notice_title"/>
    <w:basedOn w:val="1"/>
    <w:qFormat/>
    <w:uiPriority w:val="99"/>
    <w:pPr>
      <w:widowControl/>
      <w:spacing w:after="225"/>
      <w:jc w:val="center"/>
    </w:pPr>
    <w:rPr>
      <w:rFonts w:ascii="宋体" w:hAnsi="宋体" w:cs="宋体"/>
      <w:b/>
      <w:bCs/>
      <w:color w:val="771325"/>
      <w:kern w:val="0"/>
      <w:szCs w:val="21"/>
    </w:rPr>
  </w:style>
  <w:style w:type="paragraph" w:customStyle="1" w:styleId="50">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 w:type="character" w:customStyle="1" w:styleId="51">
    <w:name w:val="font21"/>
    <w:basedOn w:val="19"/>
    <w:qFormat/>
    <w:uiPriority w:val="99"/>
    <w:rPr>
      <w:rFonts w:ascii="宋体" w:hAnsi="宋体" w:eastAsia="宋体" w:cs="宋体"/>
      <w:color w:val="000000"/>
      <w:sz w:val="24"/>
      <w:szCs w:val="24"/>
      <w:u w:val="none"/>
    </w:rPr>
  </w:style>
  <w:style w:type="character" w:customStyle="1" w:styleId="52">
    <w:name w:val="font41"/>
    <w:basedOn w:val="19"/>
    <w:qFormat/>
    <w:uiPriority w:val="99"/>
    <w:rPr>
      <w:rFonts w:ascii="Times New Roman" w:hAnsi="Times New Roman" w:cs="Times New Roman"/>
      <w:color w:val="000000"/>
      <w:sz w:val="24"/>
      <w:szCs w:val="24"/>
      <w:u w:val="none"/>
    </w:rPr>
  </w:style>
  <w:style w:type="character" w:customStyle="1" w:styleId="53">
    <w:name w:val="font31"/>
    <w:basedOn w:val="19"/>
    <w:qFormat/>
    <w:uiPriority w:val="99"/>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8C5282-D11D-477A-BAF0-85BCD5BAA79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292</Words>
  <Characters>1669</Characters>
  <Lines>13</Lines>
  <Paragraphs>3</Paragraphs>
  <TotalTime>0</TotalTime>
  <ScaleCrop>false</ScaleCrop>
  <LinksUpToDate>false</LinksUpToDate>
  <CharactersWithSpaces>1958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2021-07-12T15:34:27Z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