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8"/>
          <w:szCs w:val="48"/>
        </w:rPr>
      </w:pPr>
      <w:r>
        <w:rPr>
          <w:rFonts w:hint="eastAsia" w:ascii="黑体" w:hAnsi="黑体" w:eastAsia="黑体" w:cs="黑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1080" w:firstLineChars="300"/>
        <w:jc w:val="left"/>
        <w:rPr>
          <w:rFonts w:ascii="仿宋_GB2312" w:hAnsi="仿宋_GB2312" w:eastAsia="仿宋_GB2312" w:cs="仿宋_GB2312"/>
          <w:kern w:val="0"/>
          <w:sz w:val="36"/>
          <w:szCs w:val="36"/>
        </w:rPr>
      </w:pPr>
      <w:r>
        <w:rPr>
          <w:rFonts w:hint="eastAsia" w:hAnsi="宋体" w:eastAsia="仿宋_GB2312" w:cs="宋体"/>
          <w:kern w:val="0"/>
          <w:sz w:val="36"/>
          <w:szCs w:val="36"/>
        </w:rPr>
        <w:t>项目名称：国有农牧场表彰经费项目</w:t>
      </w:r>
    </w:p>
    <w:p>
      <w:pPr>
        <w:spacing w:line="700" w:lineRule="exact"/>
        <w:ind w:firstLine="1080" w:firstLineChars="300"/>
        <w:jc w:val="left"/>
        <w:rPr>
          <w:rFonts w:hint="eastAsia" w:ascii="仿宋_GB2312" w:hAnsi="仿宋_GB2312" w:eastAsia="仿宋_GB2312" w:cs="仿宋_GB2312"/>
          <w:kern w:val="0"/>
          <w:sz w:val="36"/>
          <w:szCs w:val="36"/>
          <w:lang w:val="zh-TW"/>
        </w:rPr>
      </w:pPr>
      <w:r>
        <w:rPr>
          <w:rFonts w:hint="eastAsia" w:ascii="仿宋_GB2312" w:hAnsi="仿宋_GB2312" w:eastAsia="仿宋_GB2312" w:cs="仿宋_GB2312"/>
          <w:kern w:val="0"/>
          <w:sz w:val="36"/>
          <w:szCs w:val="36"/>
        </w:rPr>
        <w:t>实施单位（公章）：</w:t>
      </w:r>
      <w:r>
        <w:rPr>
          <w:rFonts w:hint="eastAsia" w:ascii="仿宋_GB2312" w:hAnsi="仿宋_GB2312" w:eastAsia="仿宋_GB2312" w:cs="仿宋_GB2312"/>
          <w:kern w:val="0"/>
          <w:sz w:val="36"/>
          <w:szCs w:val="36"/>
          <w:lang w:val="zh-TW"/>
        </w:rPr>
        <w:t>叶城县林场</w:t>
      </w:r>
    </w:p>
    <w:p>
      <w:pPr>
        <w:spacing w:line="700" w:lineRule="exact"/>
        <w:ind w:firstLine="1080" w:firstLineChars="3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主管部门（公章）：叶城县财政局</w:t>
      </w:r>
    </w:p>
    <w:p>
      <w:pPr>
        <w:spacing w:line="700" w:lineRule="exact"/>
        <w:ind w:firstLine="1080" w:firstLineChars="3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项目负责人（签章）：左建林</w:t>
      </w:r>
    </w:p>
    <w:p>
      <w:pPr>
        <w:spacing w:line="700" w:lineRule="exact"/>
        <w:ind w:firstLine="1080" w:firstLineChars="300"/>
        <w:jc w:val="left"/>
        <w:rPr>
          <w:rFonts w:ascii="仿宋_GB2312" w:hAnsi="仿宋_GB2312" w:eastAsia="仿宋_GB2312" w:cs="仿宋_GB2312"/>
          <w:kern w:val="0"/>
          <w:sz w:val="36"/>
          <w:szCs w:val="36"/>
        </w:rPr>
      </w:pPr>
      <w:bookmarkStart w:id="0" w:name="_GoBack"/>
      <w:bookmarkEnd w:id="0"/>
      <w:r>
        <w:rPr>
          <w:rFonts w:hint="eastAsia" w:ascii="仿宋_GB2312" w:hAnsi="仿宋_GB2312" w:eastAsia="仿宋_GB2312" w:cs="仿宋_GB2312"/>
          <w:kern w:val="0"/>
          <w:sz w:val="36"/>
          <w:szCs w:val="36"/>
        </w:rPr>
        <w:t>填报时间：</w:t>
      </w:r>
      <w:r>
        <w:rPr>
          <w:rFonts w:hint="eastAsia" w:ascii="仿宋_GB2312" w:hAnsi="仿宋_GB2312" w:eastAsia="仿宋_GB2312" w:cs="仿宋_GB2312"/>
          <w:bCs/>
          <w:sz w:val="36"/>
          <w:szCs w:val="36"/>
        </w:rPr>
        <w:t>2018年12月25日</w:t>
      </w: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一、项目概况</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（一）项目单位基本情况</w:t>
      </w:r>
    </w:p>
    <w:p>
      <w:pPr>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林场（以下简称林场）工作职能是参与制订全县林业及林业经济工作发展规划，组织设施林业技术和森林病虫害防治培训、指导设施林业生产技术应用，提供林业新技术进行试验、示范及推广。隶属于叶城县林业局，全额事业编制，副科级单位。</w:t>
      </w:r>
    </w:p>
    <w:p>
      <w:pPr>
        <w:pStyle w:val="15"/>
        <w:shd w:val="clear" w:color="auto" w:fill="FFFFFF"/>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编制人数10人，其中：全额拨款事业单位人员编制10人。实有在职人数6人，其中：全额额事业在职2人，工勤在职人数4人。退休人员5人。</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w:t>
      </w:r>
      <w:r>
        <w:rPr>
          <w:rFonts w:hint="eastAsia" w:ascii="仿宋_GB2312" w:hAnsi="仿宋_GB2312" w:eastAsia="仿宋_GB2312" w:cs="仿宋_GB2312"/>
          <w:bCs/>
          <w:sz w:val="32"/>
          <w:szCs w:val="32"/>
        </w:rPr>
        <w:t>国有农牧场县级表彰经费0.9万元</w:t>
      </w:r>
      <w:r>
        <w:rPr>
          <w:rFonts w:hint="eastAsia" w:ascii="仿宋_GB2312" w:hAnsi="仿宋_GB2312" w:eastAsia="仿宋_GB2312" w:cs="仿宋_GB2312"/>
          <w:bCs/>
          <w:spacing w:val="-4"/>
          <w:sz w:val="32"/>
          <w:szCs w:val="32"/>
        </w:rPr>
        <w:t>。</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本项目性质为延续项目。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3、项目用途及范围</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w:t>
      </w:r>
      <w:r>
        <w:rPr>
          <w:rFonts w:hint="eastAsia" w:ascii="仿宋_GB2312" w:hAnsi="仿宋_GB2312" w:eastAsia="仿宋_GB2312" w:cs="仿宋_GB2312"/>
          <w:bCs/>
          <w:sz w:val="32"/>
          <w:szCs w:val="32"/>
        </w:rPr>
        <w:t>国有农牧场表彰经费是由总场在“七一”表彰优秀党员发放，由4个分场评选出的优秀人员发放经费</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二、项目资金使用及管理情况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（一）项目资金安排落实、总投入等情况分析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w:t>
      </w:r>
      <w:r>
        <w:rPr>
          <w:rFonts w:hint="eastAsia" w:ascii="仿宋_GB2312" w:hAnsi="仿宋_GB2312" w:eastAsia="仿宋_GB2312" w:cs="仿宋_GB2312"/>
          <w:bCs/>
          <w:sz w:val="32"/>
          <w:szCs w:val="32"/>
        </w:rPr>
        <w:t>国有农牧场表彰经费</w:t>
      </w:r>
      <w:r>
        <w:rPr>
          <w:rFonts w:hint="eastAsia" w:ascii="仿宋_GB2312" w:hAnsi="仿宋_GB2312" w:eastAsia="仿宋_GB2312" w:cs="仿宋_GB2312"/>
          <w:bCs/>
          <w:spacing w:val="-4"/>
          <w:sz w:val="32"/>
          <w:szCs w:val="32"/>
        </w:rPr>
        <w:t>预算安排总额为</w:t>
      </w:r>
      <w:r>
        <w:rPr>
          <w:rFonts w:hint="eastAsia" w:ascii="仿宋_GB2312" w:hAnsi="仿宋_GB2312" w:eastAsia="仿宋_GB2312" w:cs="仿宋_GB2312"/>
          <w:bCs/>
          <w:sz w:val="32"/>
          <w:szCs w:val="32"/>
        </w:rPr>
        <w:t>0.9</w:t>
      </w:r>
      <w:r>
        <w:rPr>
          <w:rFonts w:hint="eastAsia" w:ascii="仿宋_GB2312" w:hAnsi="仿宋_GB2312" w:eastAsia="仿宋_GB2312" w:cs="仿宋_GB2312"/>
          <w:bCs/>
          <w:spacing w:val="-4"/>
          <w:sz w:val="32"/>
          <w:szCs w:val="32"/>
        </w:rPr>
        <w:t>万元，其中财政资</w:t>
      </w:r>
      <w:r>
        <w:rPr>
          <w:rFonts w:hint="eastAsia" w:ascii="仿宋_GB2312" w:hAnsi="仿宋_GB2312" w:eastAsia="仿宋_GB2312" w:cs="仿宋_GB2312"/>
          <w:bCs/>
          <w:sz w:val="32"/>
          <w:szCs w:val="32"/>
        </w:rPr>
        <w:t>0.9</w:t>
      </w:r>
      <w:r>
        <w:rPr>
          <w:rFonts w:hint="eastAsia" w:ascii="仿宋_GB2312" w:hAnsi="仿宋_GB2312" w:eastAsia="仿宋_GB2312" w:cs="仿宋_GB2312"/>
          <w:bCs/>
          <w:spacing w:val="-4"/>
          <w:sz w:val="32"/>
          <w:szCs w:val="32"/>
        </w:rPr>
        <w:t>万元，自筹资金0万元。2018年实际收到预算资金</w:t>
      </w:r>
      <w:r>
        <w:rPr>
          <w:rFonts w:hint="eastAsia" w:ascii="仿宋_GB2312" w:hAnsi="仿宋_GB2312" w:eastAsia="仿宋_GB2312" w:cs="仿宋_GB2312"/>
          <w:bCs/>
          <w:sz w:val="32"/>
          <w:szCs w:val="32"/>
        </w:rPr>
        <w:t>0.9</w:t>
      </w:r>
      <w:r>
        <w:rPr>
          <w:rFonts w:hint="eastAsia" w:ascii="仿宋_GB2312" w:hAnsi="仿宋_GB2312" w:eastAsia="仿宋_GB2312" w:cs="仿宋_GB2312"/>
          <w:bCs/>
          <w:spacing w:val="-4"/>
          <w:sz w:val="32"/>
          <w:szCs w:val="32"/>
        </w:rPr>
        <w:t>万元。</w:t>
      </w:r>
    </w:p>
    <w:p>
      <w:pPr>
        <w:spacing w:line="560" w:lineRule="exact"/>
        <w:ind w:firstLine="564" w:firstLineChars="181"/>
        <w:rPr>
          <w:rStyle w:val="19"/>
          <w:rFonts w:ascii="仿宋_GB2312" w:hAnsi="仿宋_GB2312" w:eastAsia="仿宋_GB2312" w:cs="仿宋_GB2312"/>
          <w:b w:val="0"/>
          <w:color w:val="0000FF"/>
          <w:spacing w:val="-4"/>
          <w:sz w:val="32"/>
          <w:szCs w:val="32"/>
        </w:rPr>
      </w:pPr>
      <w:r>
        <w:rPr>
          <w:rStyle w:val="19"/>
          <w:rFonts w:hint="eastAsia" w:ascii="仿宋_GB2312" w:hAnsi="仿宋_GB2312" w:eastAsia="仿宋_GB2312" w:cs="仿宋_GB2312"/>
          <w:b w:val="0"/>
          <w:spacing w:val="-4"/>
          <w:sz w:val="32"/>
          <w:szCs w:val="32"/>
        </w:rPr>
        <w:t xml:space="preserve">（二）项目资金实际使用情况分析   </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本项目资金实际支付资金</w:t>
      </w:r>
      <w:r>
        <w:rPr>
          <w:rFonts w:hint="eastAsia" w:ascii="仿宋_GB2312" w:hAnsi="仿宋_GB2312" w:eastAsia="仿宋_GB2312" w:cs="仿宋_GB2312"/>
          <w:bCs/>
          <w:sz w:val="32"/>
          <w:szCs w:val="32"/>
        </w:rPr>
        <w:t>0.9</w:t>
      </w:r>
      <w:r>
        <w:rPr>
          <w:rFonts w:hint="eastAsia" w:ascii="仿宋_GB2312" w:hAnsi="仿宋_GB2312" w:eastAsia="仿宋_GB2312" w:cs="仿宋_GB2312"/>
          <w:bCs/>
          <w:spacing w:val="-4"/>
          <w:sz w:val="32"/>
          <w:szCs w:val="32"/>
        </w:rPr>
        <w:t>万元，预算执行率100%,没有结余资金。项目主要用于支付林场、园艺场、阿克塔什农场、良种场四个场</w:t>
      </w:r>
      <w:r>
        <w:rPr>
          <w:rFonts w:hint="eastAsia" w:ascii="仿宋_GB2312" w:hAnsi="仿宋_GB2312" w:eastAsia="仿宋_GB2312" w:cs="仿宋_GB2312"/>
          <w:bCs/>
          <w:sz w:val="32"/>
          <w:szCs w:val="32"/>
        </w:rPr>
        <w:t>评选出的优秀党员作为奖励发放</w:t>
      </w:r>
      <w:r>
        <w:rPr>
          <w:rFonts w:hint="eastAsia" w:ascii="仿宋_GB2312" w:hAnsi="仿宋_GB2312" w:eastAsia="仿宋_GB2312" w:cs="仿宋_GB2312"/>
          <w:bCs/>
          <w:spacing w:val="-4"/>
          <w:sz w:val="32"/>
          <w:szCs w:val="32"/>
        </w:rPr>
        <w:t>。</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pacing w:val="-4"/>
          <w:sz w:val="32"/>
          <w:szCs w:val="32"/>
        </w:rPr>
        <w:t>本项目支出按照项目资金管理办法，符合相关财务管理制度，由我单位采取报账审批制，财政局审批把关符合支出要求后，由财政平台统一支付到经销商或供应商；支出和资金拨付有完整的审批程序和手续均符合财务管理制度，不存在截留、挤占、挪用、虚假支出等现象。</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2018年</w:t>
      </w:r>
      <w:r>
        <w:rPr>
          <w:rFonts w:hint="eastAsia" w:ascii="仿宋_GB2312" w:hAnsi="仿宋_GB2312" w:eastAsia="仿宋_GB2312" w:cs="仿宋_GB2312"/>
          <w:bCs/>
          <w:sz w:val="32"/>
          <w:szCs w:val="32"/>
        </w:rPr>
        <w:t>国有农牧场表彰经费资金</w:t>
      </w:r>
      <w:r>
        <w:rPr>
          <w:rStyle w:val="19"/>
          <w:rFonts w:hint="eastAsia" w:ascii="仿宋_GB2312" w:hAnsi="仿宋_GB2312" w:eastAsia="仿宋_GB2312" w:cs="仿宋_GB2312"/>
          <w:b w:val="0"/>
          <w:spacing w:val="-4"/>
          <w:sz w:val="32"/>
          <w:szCs w:val="32"/>
        </w:rPr>
        <w:t>属于经常性零星项目，没有达到招标限额，由四个场组织负责，叶城县财政局负责对项目进行监督，实施过程中按照叶城县制定的项目管理制度严格执行。</w:t>
      </w:r>
    </w:p>
    <w:p>
      <w:pPr>
        <w:adjustRightInd w:val="0"/>
        <w:snapToGrid w:val="0"/>
        <w:spacing w:line="560" w:lineRule="exact"/>
        <w:ind w:firstLine="624" w:firstLineChars="200"/>
        <w:rPr>
          <w:rStyle w:val="19"/>
          <w:rFonts w:ascii="仿宋_GB2312" w:hAnsi="仿宋_GB2312" w:eastAsia="仿宋_GB2312" w:cs="仿宋_GB2312"/>
          <w:b w:val="0"/>
          <w:i/>
          <w:spacing w:val="-4"/>
          <w:sz w:val="32"/>
          <w:szCs w:val="32"/>
        </w:rPr>
      </w:pPr>
      <w:r>
        <w:rPr>
          <w:rStyle w:val="19"/>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本项目不存在检查验收程序。</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pacing w:val="-4"/>
          <w:sz w:val="32"/>
          <w:szCs w:val="32"/>
        </w:rPr>
        <w:t>2018年</w:t>
      </w:r>
      <w:r>
        <w:rPr>
          <w:rFonts w:hint="eastAsia" w:ascii="仿宋_GB2312" w:hAnsi="仿宋_GB2312" w:eastAsia="仿宋_GB2312" w:cs="仿宋_GB2312"/>
          <w:bCs/>
          <w:sz w:val="32"/>
          <w:szCs w:val="32"/>
        </w:rPr>
        <w:t>国有农牧场表彰经费资金</w:t>
      </w:r>
      <w:r>
        <w:rPr>
          <w:rFonts w:hint="eastAsia" w:ascii="仿宋_GB2312" w:hAnsi="仿宋_GB2312" w:eastAsia="仿宋_GB2312" w:cs="仿宋_GB2312"/>
          <w:bCs/>
          <w:spacing w:val="-4"/>
          <w:sz w:val="32"/>
          <w:szCs w:val="32"/>
        </w:rPr>
        <w:t>项目实施过程中，叶城县林场依据叶城县财政局项目资金实施管理办法及细则采取报账制进行项目实施。项目的实施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Cs w:val="0"/>
          <w:sz w:val="32"/>
          <w:szCs w:val="32"/>
        </w:rPr>
      </w:pPr>
      <w:r>
        <w:rPr>
          <w:rStyle w:val="19"/>
          <w:rFonts w:hint="eastAsia" w:ascii="黑体" w:hAnsi="黑体" w:eastAsia="黑体" w:cs="黑体"/>
          <w:bCs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312" w:firstLineChars="100"/>
        <w:jc w:val="left"/>
        <w:rPr>
          <w:rFonts w:ascii="仿宋_GB2312" w:hAnsi="仿宋_GB2312" w:eastAsia="仿宋_GB2312" w:cs="仿宋_GB2312"/>
          <w:bCs/>
          <w:kern w:val="0"/>
          <w:sz w:val="32"/>
          <w:szCs w:val="32"/>
        </w:rPr>
      </w:pPr>
      <w:r>
        <w:rPr>
          <w:rFonts w:hint="eastAsia" w:ascii="仿宋_GB2312" w:hAnsi="仿宋_GB2312" w:eastAsia="仿宋_GB2312" w:cs="仿宋_GB2312"/>
          <w:bCs/>
          <w:spacing w:val="-4"/>
          <w:sz w:val="32"/>
          <w:szCs w:val="32"/>
        </w:rPr>
        <w:t>本项目共设置一级指标3个，二级指标9个，三级指标10个，其中已完成三级指标10个，指标完成率为100%，</w:t>
      </w:r>
      <w:r>
        <w:rPr>
          <w:rFonts w:hint="eastAsia" w:ascii="仿宋_GB2312" w:hAnsi="仿宋_GB2312" w:eastAsia="仿宋_GB2312" w:cs="仿宋_GB2312"/>
          <w:bCs/>
          <w:kern w:val="0"/>
          <w:sz w:val="32"/>
          <w:szCs w:val="32"/>
        </w:rPr>
        <w:t>根据年初设定的绩效目标，此项目自评得分为87分。</w:t>
      </w:r>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left="210" w:leftChars="100" w:firstLine="1092" w:firstLineChars="35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数量指标全部完成</w:t>
      </w:r>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left="210" w:leftChars="100"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经费保障率100%</w:t>
      </w:r>
    </w:p>
    <w:p>
      <w:pPr>
        <w:spacing w:line="560" w:lineRule="exact"/>
        <w:ind w:left="210" w:leftChars="100"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按照申报目标的进度进行</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xml:space="preserve">  无</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提高党员干部工作积极性</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spacing w:line="560" w:lineRule="exact"/>
        <w:ind w:firstLine="312" w:firstLineChars="1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spacing w:line="560" w:lineRule="exact"/>
        <w:ind w:firstLine="312" w:firstLineChars="1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按计划完成项目实施，已做满意度调查问卷，满意率达100%，服务对象满意度指标完成。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2018年本项目绩效目标全部达成。不存在问题，无改进措施。</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短期性项目主要分析项目的移交和后续管理；长期性项目主要分析下一年度计划及安排等。</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在项目实施过程中采取报账制（项目资金由财政部门存放），单位实施过程中发生的资金使用及需要支出均由县主管领导签字审批，财政部门审核把关，杜绝了项目资金在使用过程存在中挪用、虚假开支等现象的发生。资金支付直接到供应商和经销商，杜绝了挤占项目资金的情况发生。</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xml:space="preserve">2、随着国有农牧林场改革的深入，林场划归一类公益性事业单位全额拨款，同时按上级部门要求林场将大部分土地（80%）划归相应的乡镇，在土地收入大幅减少的情况下，林场还要承担在职农工养老等五险一金的缴纳及单自收自支人员工资发放、日常公用支出、维护社会安定等各方面支出，在没有其他经济增长点的情况下，林场经济入不敷出。 </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3、建议能否后期加大对国有林场资金支持力度，来解决资金缺口较大的困难。使林场摆脱现有困境，轻装上阵，更好的投入到营林及管护生态林、防护林的本职工作中去。</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40"/>
        <w:rPr>
          <w:rStyle w:val="19"/>
          <w:rFonts w:ascii="黑体" w:hAnsi="黑体" w:eastAsia="黑体" w:cs="黑体"/>
          <w:bCs w:val="0"/>
          <w:spacing w:val="-4"/>
          <w:sz w:val="32"/>
          <w:szCs w:val="32"/>
        </w:rPr>
      </w:pPr>
      <w:r>
        <w:rPr>
          <w:rStyle w:val="19"/>
          <w:rFonts w:hint="eastAsia" w:ascii="黑体" w:hAnsi="黑体" w:eastAsia="黑体" w:cs="黑体"/>
          <w:bCs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本次评价通过文件研读、实地调研、数据分析等方式，全面了解2018年</w:t>
      </w:r>
      <w:r>
        <w:rPr>
          <w:rFonts w:hint="eastAsia" w:ascii="仿宋_GB2312" w:hAnsi="仿宋_GB2312" w:eastAsia="仿宋_GB2312" w:cs="仿宋_GB2312"/>
          <w:bCs/>
          <w:sz w:val="32"/>
          <w:szCs w:val="32"/>
        </w:rPr>
        <w:t>表彰经费</w:t>
      </w:r>
      <w:r>
        <w:rPr>
          <w:rFonts w:hint="eastAsia" w:ascii="仿宋_GB2312" w:hAnsi="仿宋_GB2312" w:eastAsia="仿宋_GB2312" w:cs="仿宋_GB2312"/>
          <w:bCs/>
          <w:spacing w:val="-4"/>
          <w:sz w:val="32"/>
          <w:szCs w:val="32"/>
        </w:rPr>
        <w:t>资金的使用效率和效果，项目管理过程符合相关项目管理制度，完成了预期绩效目标及社会综合效益等。同时，通过开展自我评价来总结经验和教训，为</w:t>
      </w:r>
      <w:r>
        <w:rPr>
          <w:rFonts w:hint="eastAsia" w:ascii="仿宋_GB2312" w:hAnsi="仿宋_GB2312" w:eastAsia="仿宋_GB2312" w:cs="仿宋_GB2312"/>
          <w:bCs/>
          <w:color w:val="000000"/>
          <w:sz w:val="32"/>
          <w:szCs w:val="32"/>
          <w:shd w:val="clear" w:color="auto" w:fill="FFFFFF"/>
        </w:rPr>
        <w:t>工作人员激励机制</w:t>
      </w:r>
      <w:r>
        <w:rPr>
          <w:rFonts w:hint="eastAsia" w:ascii="仿宋_GB2312" w:hAnsi="仿宋_GB2312" w:eastAsia="仿宋_GB2312" w:cs="仿宋_GB2312"/>
          <w:bCs/>
          <w:spacing w:val="-4"/>
          <w:sz w:val="32"/>
          <w:szCs w:val="32"/>
        </w:rPr>
        <w:t>项目今后的开展提供参考建议。</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黑体" w:hAnsi="黑体" w:eastAsia="黑体" w:cs="黑体"/>
          <w:bCs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《项目支出绩效自评表》</w:t>
      </w: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40" w:lineRule="exact"/>
        <w:ind w:firstLine="567"/>
        <w:rPr>
          <w:rStyle w:val="19"/>
          <w:rFonts w:ascii="仿宋_GB2312" w:hAnsi="仿宋_GB2312" w:eastAsia="仿宋_GB2312" w:cs="仿宋_GB2312"/>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4204"/>
    <w:rsid w:val="00056465"/>
    <w:rsid w:val="00072415"/>
    <w:rsid w:val="00121AE4"/>
    <w:rsid w:val="00126AEF"/>
    <w:rsid w:val="00136BCC"/>
    <w:rsid w:val="00146AAD"/>
    <w:rsid w:val="001B23F1"/>
    <w:rsid w:val="001B3A40"/>
    <w:rsid w:val="00220617"/>
    <w:rsid w:val="00311626"/>
    <w:rsid w:val="00321CBD"/>
    <w:rsid w:val="003267BE"/>
    <w:rsid w:val="00347D87"/>
    <w:rsid w:val="003C2CF9"/>
    <w:rsid w:val="004366A8"/>
    <w:rsid w:val="00450B51"/>
    <w:rsid w:val="004C32E2"/>
    <w:rsid w:val="00502BA7"/>
    <w:rsid w:val="005162F1"/>
    <w:rsid w:val="00535153"/>
    <w:rsid w:val="00554F82"/>
    <w:rsid w:val="0056390D"/>
    <w:rsid w:val="005719B0"/>
    <w:rsid w:val="005D10D6"/>
    <w:rsid w:val="0063597F"/>
    <w:rsid w:val="00641131"/>
    <w:rsid w:val="00656E69"/>
    <w:rsid w:val="007A593B"/>
    <w:rsid w:val="007C5B5D"/>
    <w:rsid w:val="007D32F0"/>
    <w:rsid w:val="007E6716"/>
    <w:rsid w:val="00801CD2"/>
    <w:rsid w:val="00855E3A"/>
    <w:rsid w:val="008E6B23"/>
    <w:rsid w:val="008F2612"/>
    <w:rsid w:val="00922CB9"/>
    <w:rsid w:val="0099379F"/>
    <w:rsid w:val="009C692D"/>
    <w:rsid w:val="009E5CD9"/>
    <w:rsid w:val="00A26421"/>
    <w:rsid w:val="00A4293B"/>
    <w:rsid w:val="00A6581C"/>
    <w:rsid w:val="00A67D50"/>
    <w:rsid w:val="00A8691A"/>
    <w:rsid w:val="00AA78D4"/>
    <w:rsid w:val="00AC1946"/>
    <w:rsid w:val="00AE1404"/>
    <w:rsid w:val="00B40063"/>
    <w:rsid w:val="00B41F61"/>
    <w:rsid w:val="00B55E40"/>
    <w:rsid w:val="00B84C63"/>
    <w:rsid w:val="00BA2447"/>
    <w:rsid w:val="00BA46E6"/>
    <w:rsid w:val="00BF7355"/>
    <w:rsid w:val="00C07C56"/>
    <w:rsid w:val="00C46AEB"/>
    <w:rsid w:val="00C56C72"/>
    <w:rsid w:val="00C87A8E"/>
    <w:rsid w:val="00C95952"/>
    <w:rsid w:val="00CA6457"/>
    <w:rsid w:val="00CB0722"/>
    <w:rsid w:val="00D17F2E"/>
    <w:rsid w:val="00D30354"/>
    <w:rsid w:val="00D35A5E"/>
    <w:rsid w:val="00DD1016"/>
    <w:rsid w:val="00DF42A0"/>
    <w:rsid w:val="00E32AE0"/>
    <w:rsid w:val="00E564B5"/>
    <w:rsid w:val="00E75917"/>
    <w:rsid w:val="00E760FC"/>
    <w:rsid w:val="00E769FE"/>
    <w:rsid w:val="00EA2CBE"/>
    <w:rsid w:val="00F32FEE"/>
    <w:rsid w:val="00F531E1"/>
    <w:rsid w:val="00F931A1"/>
    <w:rsid w:val="00FB10BB"/>
    <w:rsid w:val="00FC3B55"/>
    <w:rsid w:val="00FE11B9"/>
    <w:rsid w:val="00FE6748"/>
    <w:rsid w:val="02E37DE9"/>
    <w:rsid w:val="0D5D5A45"/>
    <w:rsid w:val="0FFE3B65"/>
    <w:rsid w:val="17E421EC"/>
    <w:rsid w:val="347362C2"/>
    <w:rsid w:val="3D70724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uiPriority w:val="99"/>
    <w:rPr>
      <w:sz w:val="18"/>
      <w:szCs w:val="18"/>
    </w:rPr>
  </w:style>
  <w:style w:type="paragraph" w:styleId="12">
    <w:name w:val="footer"/>
    <w:basedOn w:val="1"/>
    <w:link w:val="31"/>
    <w:uiPriority w:val="99"/>
    <w:pPr>
      <w:tabs>
        <w:tab w:val="center" w:pos="4153"/>
        <w:tab w:val="right" w:pos="8306"/>
      </w:tabs>
      <w:snapToGrid w:val="0"/>
      <w:jc w:val="left"/>
    </w:pPr>
    <w:rPr>
      <w:rFonts w:ascii="Calibri" w:hAnsi="Calibri"/>
      <w:sz w:val="18"/>
      <w:szCs w:val="18"/>
    </w:rPr>
  </w:style>
  <w:style w:type="paragraph" w:styleId="13">
    <w:name w:val="header"/>
    <w:basedOn w:val="1"/>
    <w:link w:val="32"/>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2"/>
    <w:locked/>
    <w:uiPriority w:val="99"/>
    <w:rPr>
      <w:rFonts w:ascii="Cambria" w:hAnsi="Cambria" w:eastAsia="宋体" w:cs="Times New Roman"/>
      <w:b/>
      <w:bCs/>
      <w:kern w:val="32"/>
      <w:sz w:val="32"/>
      <w:szCs w:val="32"/>
    </w:rPr>
  </w:style>
  <w:style w:type="character" w:customStyle="1" w:styleId="22">
    <w:name w:val="标题 2 Char"/>
    <w:basedOn w:val="18"/>
    <w:link w:val="3"/>
    <w:semiHidden/>
    <w:qFormat/>
    <w:locked/>
    <w:uiPriority w:val="99"/>
    <w:rPr>
      <w:rFonts w:ascii="Cambria" w:hAnsi="Cambria" w:eastAsia="宋体" w:cs="Times New Roman"/>
      <w:b/>
      <w:bCs/>
      <w:i/>
      <w:iCs/>
      <w:sz w:val="28"/>
      <w:szCs w:val="28"/>
    </w:rPr>
  </w:style>
  <w:style w:type="character" w:customStyle="1" w:styleId="23">
    <w:name w:val="标题 3 Char"/>
    <w:basedOn w:val="18"/>
    <w:link w:val="4"/>
    <w:semiHidden/>
    <w:qFormat/>
    <w:locked/>
    <w:uiPriority w:val="99"/>
    <w:rPr>
      <w:rFonts w:ascii="Cambria" w:hAnsi="Cambria" w:eastAsia="宋体" w:cs="Times New Roman"/>
      <w:b/>
      <w:bCs/>
      <w:sz w:val="26"/>
      <w:szCs w:val="26"/>
    </w:rPr>
  </w:style>
  <w:style w:type="character" w:customStyle="1" w:styleId="24">
    <w:name w:val="标题 4 Char"/>
    <w:basedOn w:val="18"/>
    <w:link w:val="5"/>
    <w:semiHidden/>
    <w:locked/>
    <w:uiPriority w:val="99"/>
    <w:rPr>
      <w:rFonts w:cs="Times New Roman"/>
      <w:b/>
      <w:bCs/>
      <w:sz w:val="28"/>
      <w:szCs w:val="28"/>
    </w:rPr>
  </w:style>
  <w:style w:type="character" w:customStyle="1" w:styleId="25">
    <w:name w:val="标题 5 Char"/>
    <w:basedOn w:val="18"/>
    <w:link w:val="6"/>
    <w:semiHidden/>
    <w:qFormat/>
    <w:locked/>
    <w:uiPriority w:val="99"/>
    <w:rPr>
      <w:rFonts w:cs="Times New Roman"/>
      <w:b/>
      <w:bCs/>
      <w:i/>
      <w:iCs/>
      <w:sz w:val="26"/>
      <w:szCs w:val="26"/>
    </w:rPr>
  </w:style>
  <w:style w:type="character" w:customStyle="1" w:styleId="26">
    <w:name w:val="标题 6 Char"/>
    <w:basedOn w:val="18"/>
    <w:link w:val="7"/>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qFormat/>
    <w:locked/>
    <w:uiPriority w:val="99"/>
    <w:rPr>
      <w:rFonts w:cs="Times New Roman"/>
      <w:i/>
      <w:iCs/>
      <w:sz w:val="24"/>
      <w:szCs w:val="24"/>
    </w:rPr>
  </w:style>
  <w:style w:type="character" w:customStyle="1" w:styleId="29">
    <w:name w:val="标题 9 Char"/>
    <w:basedOn w:val="18"/>
    <w:link w:val="10"/>
    <w:semiHidden/>
    <w:locked/>
    <w:uiPriority w:val="99"/>
    <w:rPr>
      <w:rFonts w:ascii="Cambria" w:hAnsi="Cambria" w:eastAsia="宋体" w:cs="Times New Roman"/>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locked/>
    <w:uiPriority w:val="99"/>
    <w:rPr>
      <w:rFonts w:ascii="Calibri" w:hAnsi="Calibri" w:eastAsia="宋体" w:cs="Times New Roman"/>
      <w:kern w:val="2"/>
      <w:sz w:val="18"/>
      <w:szCs w:val="18"/>
    </w:rPr>
  </w:style>
  <w:style w:type="character" w:customStyle="1" w:styleId="32">
    <w:name w:val="页眉 Char"/>
    <w:basedOn w:val="18"/>
    <w:link w:val="13"/>
    <w:locked/>
    <w:uiPriority w:val="99"/>
    <w:rPr>
      <w:rFonts w:ascii="Calibri" w:hAnsi="Calibri" w:eastAsia="宋体" w:cs="Times New Roman"/>
      <w:kern w:val="2"/>
      <w:sz w:val="18"/>
      <w:szCs w:val="18"/>
    </w:rPr>
  </w:style>
  <w:style w:type="character" w:customStyle="1" w:styleId="33">
    <w:name w:val="副标题 Char"/>
    <w:basedOn w:val="18"/>
    <w:link w:val="14"/>
    <w:locked/>
    <w:uiPriority w:val="99"/>
    <w:rPr>
      <w:rFonts w:ascii="Cambria" w:hAnsi="Cambria" w:eastAsia="宋体" w:cs="Times New Roman"/>
      <w:sz w:val="24"/>
      <w:szCs w:val="24"/>
    </w:rPr>
  </w:style>
  <w:style w:type="character" w:customStyle="1" w:styleId="34">
    <w:name w:val="标题 Char"/>
    <w:basedOn w:val="18"/>
    <w:link w:val="16"/>
    <w:locked/>
    <w:uiPriority w:val="99"/>
    <w:rPr>
      <w:rFonts w:ascii="Cambria" w:hAnsi="Cambria" w:eastAsia="宋体" w:cs="Times New Roman"/>
      <w:b/>
      <w:bCs/>
      <w:kern w:val="28"/>
      <w:sz w:val="32"/>
      <w:szCs w:val="32"/>
    </w:rPr>
  </w:style>
  <w:style w:type="paragraph" w:customStyle="1" w:styleId="35">
    <w:name w:val="无间隔1"/>
    <w:basedOn w:val="1"/>
    <w:qFormat/>
    <w:uiPriority w:val="99"/>
    <w:pPr>
      <w:widowControl/>
      <w:jc w:val="left"/>
    </w:pPr>
    <w:rPr>
      <w:rFonts w:ascii="Calibri" w:hAnsi="Calibri"/>
      <w:kern w:val="0"/>
      <w:sz w:val="24"/>
      <w:szCs w:val="32"/>
      <w:lang w:eastAsia="en-US"/>
    </w:rPr>
  </w:style>
  <w:style w:type="paragraph" w:customStyle="1" w:styleId="36">
    <w:name w:val="列出段落1"/>
    <w:basedOn w:val="1"/>
    <w:qFormat/>
    <w:uiPriority w:val="99"/>
    <w:pPr>
      <w:widowControl/>
      <w:ind w:left="720"/>
      <w:contextualSpacing/>
      <w:jc w:val="left"/>
    </w:pPr>
    <w:rPr>
      <w:rFonts w:ascii="Calibri" w:hAnsi="Calibri"/>
      <w:kern w:val="0"/>
      <w:sz w:val="24"/>
      <w:lang w:eastAsia="en-US"/>
    </w:rPr>
  </w:style>
  <w:style w:type="paragraph" w:customStyle="1" w:styleId="37">
    <w:name w:val="引用1"/>
    <w:basedOn w:val="1"/>
    <w:next w:val="1"/>
    <w:link w:val="38"/>
    <w:qFormat/>
    <w:uiPriority w:val="99"/>
    <w:pPr>
      <w:widowControl/>
      <w:jc w:val="left"/>
    </w:pPr>
    <w:rPr>
      <w:rFonts w:ascii="Calibri" w:hAnsi="Calibri"/>
      <w:i/>
      <w:kern w:val="0"/>
      <w:sz w:val="24"/>
    </w:rPr>
  </w:style>
  <w:style w:type="character" w:customStyle="1" w:styleId="38">
    <w:name w:val="Quote Char"/>
    <w:basedOn w:val="18"/>
    <w:link w:val="37"/>
    <w:locked/>
    <w:uiPriority w:val="99"/>
    <w:rPr>
      <w:rFonts w:cs="Times New Roman"/>
      <w:i/>
      <w:sz w:val="24"/>
      <w:szCs w:val="24"/>
    </w:rPr>
  </w:style>
  <w:style w:type="paragraph" w:customStyle="1" w:styleId="39">
    <w:name w:val="明显引用1"/>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Intense Quote Char"/>
    <w:basedOn w:val="18"/>
    <w:link w:val="39"/>
    <w:locked/>
    <w:uiPriority w:val="99"/>
    <w:rPr>
      <w:rFonts w:cs="Times New Roman"/>
      <w:b/>
      <w:i/>
      <w:sz w:val="24"/>
    </w:rPr>
  </w:style>
  <w:style w:type="character" w:customStyle="1" w:styleId="41">
    <w:name w:val="不明显强调1"/>
    <w:uiPriority w:val="99"/>
    <w:rPr>
      <w:i/>
      <w:color w:val="5A5A5A"/>
    </w:rPr>
  </w:style>
  <w:style w:type="character" w:customStyle="1" w:styleId="42">
    <w:name w:val="明显强调1"/>
    <w:basedOn w:val="18"/>
    <w:uiPriority w:val="99"/>
    <w:rPr>
      <w:rFonts w:cs="Times New Roman"/>
      <w:b/>
      <w:i/>
      <w:sz w:val="24"/>
      <w:szCs w:val="24"/>
      <w:u w:val="single"/>
    </w:rPr>
  </w:style>
  <w:style w:type="character" w:customStyle="1" w:styleId="43">
    <w:name w:val="不明显参考1"/>
    <w:basedOn w:val="18"/>
    <w:uiPriority w:val="99"/>
    <w:rPr>
      <w:rFonts w:cs="Times New Roman"/>
      <w:sz w:val="24"/>
      <w:szCs w:val="24"/>
      <w:u w:val="single"/>
    </w:rPr>
  </w:style>
  <w:style w:type="character" w:customStyle="1" w:styleId="44">
    <w:name w:val="明显参考1"/>
    <w:basedOn w:val="18"/>
    <w:uiPriority w:val="99"/>
    <w:rPr>
      <w:rFonts w:cs="Times New Roman"/>
      <w:b/>
      <w:sz w:val="24"/>
      <w:u w:val="single"/>
    </w:rPr>
  </w:style>
  <w:style w:type="character" w:customStyle="1" w:styleId="45">
    <w:name w:val="书籍标题1"/>
    <w:basedOn w:val="18"/>
    <w:uiPriority w:val="99"/>
    <w:rPr>
      <w:rFonts w:ascii="Cambria" w:hAnsi="Cambria" w:eastAsia="宋体" w:cs="Times New Roman"/>
      <w:b/>
      <w:i/>
      <w:sz w:val="24"/>
      <w:szCs w:val="24"/>
    </w:rPr>
  </w:style>
  <w:style w:type="paragraph" w:customStyle="1" w:styleId="46">
    <w:name w:val="TOC 标题1"/>
    <w:basedOn w:val="2"/>
    <w:next w:val="1"/>
    <w:semiHidden/>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311</Words>
  <Characters>1779</Characters>
  <Lines>14</Lines>
  <Paragraphs>4</Paragraphs>
  <TotalTime>0</TotalTime>
  <ScaleCrop>false</ScaleCrop>
  <LinksUpToDate>false</LinksUpToDate>
  <CharactersWithSpaces>2086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2019-08-22T03:20:00Z</dcterms:created>
  <dc:creator>赵 恺（预算处）</dc:creator>
  <cp:lastModifiedBy>Administrator</cp:lastModifiedBy>
  <cp:lastPrinted>2018-12-31T10:56:00Z</cp:lastPrinted>
  <dcterms:modified xsi:type="dcterms:W3CDTF">2021-07-12T15:02:20Z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