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华文中宋" w:eastAsia="黑体" w:cs="宋体"/>
          <w:b/>
          <w:kern w:val="0"/>
          <w:sz w:val="44"/>
          <w:szCs w:val="44"/>
        </w:rPr>
      </w:pPr>
      <w:r>
        <w:rPr>
          <w:rFonts w:hint="eastAsia" w:ascii="黑体" w:hAnsi="华文中宋" w:eastAsia="黑体" w:cs="宋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叶城县财政扶贫专项资金项目</w:t>
      </w:r>
      <w:bookmarkStart w:id="0" w:name="_GoBack"/>
      <w:bookmarkEnd w:id="0"/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马世江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填报时间：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日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567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叶城县</w:t>
      </w:r>
      <w:r>
        <w:rPr>
          <w:rFonts w:hint="eastAsia" w:ascii="仿宋_GB2312" w:eastAsia="仿宋_GB2312"/>
          <w:sz w:val="32"/>
          <w:szCs w:val="32"/>
        </w:rPr>
        <w:t>扶贫办</w:t>
      </w:r>
      <w:r>
        <w:rPr>
          <w:rFonts w:hint="eastAsia" w:ascii="仿宋_GB2312" w:eastAsia="仿宋_GB2312"/>
          <w:bCs/>
          <w:sz w:val="32"/>
          <w:szCs w:val="32"/>
        </w:rPr>
        <w:t>贯彻执行国家、自治区、地区扶贫开发领导小组和移民后期扶持工作方针政策，研究制定叶城县扶贫开发战略规划，负责组织、编制和制定县扶贫开发规划和年度计划，制定完善扶贫专项资金、涉农整合资金、援疆扶贫资金、物资管理办法，提出县年度扶贫开发项目计划，做好项目实施的组织、协调、检查、监督以及落实，组织实施产业化扶贫计划，引导、扶持扶贫龙头企业发，协调管理信贷扶贫工作，争取外部资金对叶城县援助并组织实施外资扶贫项目，制定县扶贫标准方案，对扶贫开发情况进行统计和动态监测，负责贫困户建档立卡管理</w:t>
      </w:r>
      <w:r>
        <w:rPr>
          <w:rFonts w:hint="eastAsia" w:ascii="仿宋_GB2312" w:hAnsi="黑体" w:eastAsia="仿宋_GB2312"/>
          <w:bCs/>
          <w:sz w:val="32"/>
          <w:szCs w:val="32"/>
        </w:rPr>
        <w:t>。</w:t>
      </w:r>
    </w:p>
    <w:p>
      <w:pPr>
        <w:pStyle w:val="16"/>
        <w:shd w:val="clear" w:color="auto" w:fill="FFFFFF"/>
        <w:spacing w:line="560" w:lineRule="exact"/>
        <w:ind w:firstLine="624" w:firstLineChars="200"/>
        <w:rPr>
          <w:rStyle w:val="20"/>
          <w:rFonts w:ascii="仿宋_GB2312" w:eastAsia="仿宋_GB2312" w:cs="宋体"/>
          <w:b w:val="0"/>
          <w:bCs/>
          <w:spacing w:val="-4"/>
          <w:sz w:val="32"/>
          <w:szCs w:val="32"/>
        </w:rPr>
      </w:pP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人员情况：叶城县扶贫办行政编制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人，事业编制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3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人，机关工勤编制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人。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通过项目建设，消除贫困，统筹城乡发展、实现共同富裕和全面建设小康社会的战略任务，打好扶贫开发攻坚战。要着力加强农村基础设施建设，把农村的道路、安全饮水和五通七有等基础设施建设作为当务之急，坚持扶贫与扶智相结合，努力提高农民素质，不断增强发展的内生动力，让群众树立自强自立意识，提高群众的致富本领。要下大力加快教育、文化、社保等社会事业发展，完善以农村低保、新型农村养老保险为核心的社会保障体系，为实现安定脱贫构筑坚强后盾，加快推进、强力攻坚，集中财力物力，每年为群众办几件看得见、能受益的实事。加快贫困地区社会经济发展，改善扶贫对象基本生产生活条件，消除农村贫困现象。明确扶贫对象，精准到人，创新扶贫模式，以产业发展带动扶贫，完善基础设施，为脱贫致富创造良好条件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加快贫困地区基础设施建设，美化乡村环境，促进产业发展，增加就业，社会经济发展，改善扶贫对象基本生产生活条件，消除农村贫困现象。明确扶贫对象，精准到人，创新扶贫模式，以产业发展带动扶贫，为脱贫致富创造良好条件，扶持贫困户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38421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户，实现全覆盖。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叶城县涉农整合项目（含财政专项）预算安排总额为</w:t>
      </w:r>
      <w:r>
        <w:rPr>
          <w:rFonts w:ascii="仿宋_GB2312" w:hAnsi="仿宋_GB2312" w:eastAsia="仿宋_GB2312" w:cs="仿宋_GB2312"/>
          <w:sz w:val="32"/>
          <w:szCs w:val="32"/>
        </w:rPr>
        <w:t>19497.04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万元，新财建〔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0063</w:t>
      </w:r>
      <w:r>
        <w:rPr>
          <w:rFonts w:hint="eastAsia" w:ascii="仿宋_GB2312" w:hAnsi="仿宋_GB2312" w:eastAsia="仿宋_GB2312" w:cs="仿宋_GB2312"/>
          <w:sz w:val="32"/>
          <w:szCs w:val="32"/>
        </w:rPr>
        <w:t>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号、新财建〔</w:t>
      </w: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459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号、新财建〔</w:t>
      </w: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461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号、、新财发〔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号、喀地财农综［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46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号、新财建〔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0063</w:t>
      </w:r>
      <w:r>
        <w:rPr>
          <w:rFonts w:hint="eastAsia" w:ascii="仿宋_GB2312" w:hAnsi="仿宋_GB2312" w:eastAsia="仿宋_GB2312" w:cs="仿宋_GB2312"/>
          <w:sz w:val="32"/>
          <w:szCs w:val="32"/>
        </w:rPr>
        <w:t>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号、新财综改〔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号、新财发〔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号、喀地财农综［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号、新财建【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ascii="仿宋_GB2312" w:hAnsi="仿宋_GB2312" w:eastAsia="仿宋_GB2312" w:cs="仿宋_GB2312"/>
          <w:sz w:val="32"/>
          <w:szCs w:val="32"/>
        </w:rPr>
        <w:t>76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127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73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号、新财建〔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71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号、喀地综改［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号、新财农〔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</w:rPr>
        <w:t>号、喀地财农［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］</w:t>
      </w:r>
      <w:r>
        <w:rPr>
          <w:rFonts w:ascii="仿宋_GB2312" w:hAnsi="仿宋_GB2312" w:eastAsia="仿宋_GB2312" w:cs="仿宋_GB2312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号其中财政资金</w:t>
      </w:r>
      <w:r>
        <w:rPr>
          <w:rFonts w:ascii="仿宋_GB2312" w:hAnsi="仿宋_GB2312" w:eastAsia="仿宋_GB2312" w:cs="仿宋_GB2312"/>
          <w:sz w:val="32"/>
          <w:szCs w:val="32"/>
        </w:rPr>
        <w:t>19497.04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sz w:val="32"/>
          <w:szCs w:val="32"/>
        </w:rPr>
        <w:t xml:space="preserve"> 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年实际收到预算资金</w:t>
      </w:r>
      <w:r>
        <w:rPr>
          <w:rFonts w:ascii="仿宋_GB2312" w:hAnsi="仿宋_GB2312" w:eastAsia="仿宋_GB2312" w:cs="仿宋_GB2312"/>
          <w:sz w:val="32"/>
          <w:szCs w:val="32"/>
        </w:rPr>
        <w:t>19497.04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万元，资金到位率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color w:val="0000FF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sz w:val="32"/>
          <w:szCs w:val="32"/>
        </w:rPr>
        <w:t>19497.04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没有结余资金，项目资金主要用于产业发展、完善基础设施建设等方面。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根据《喀什地区财政扶贫资金管理办法（试行）》的制度，支出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叶城县扶贫办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该项目属于涉农整合和财政专项项目</w:t>
      </w:r>
      <w:r>
        <w:rPr>
          <w:rStyle w:val="20"/>
          <w:rFonts w:ascii="仿宋_GB2312" w:hAnsi="仿宋" w:eastAsia="仿宋_GB2312"/>
          <w:b w:val="0"/>
          <w:bCs/>
          <w:spacing w:val="-4"/>
          <w:sz w:val="32"/>
          <w:szCs w:val="32"/>
        </w:rPr>
        <w:t>,</w:t>
      </w:r>
      <w:r>
        <w:rPr>
          <w:rStyle w:val="20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实施过程均按照上级制定的管理制度执行。</w:t>
      </w:r>
    </w:p>
    <w:p>
      <w:pPr>
        <w:spacing w:line="560" w:lineRule="exact"/>
        <w:ind w:firstLine="567" w:firstLineChars="181"/>
        <w:rPr>
          <w:rStyle w:val="20"/>
          <w:rFonts w:ascii="仿宋_GB2312" w:hAnsi="楷体" w:eastAsia="仿宋_GB2312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《喀什地区财政扶贫资金管理办法（试行）》的制度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规定，项目资料齐全并及时归档，不定期对项目进度情况进行督导检查，对检查过程中发现的问题及时督促整改，确保了项目按时保质完成。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312" w:firstLineChars="1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个，二级指标8个，三级指标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个，其中已完成三级指标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根据年初设定的绩效目标，此项目自评得分为</w:t>
      </w:r>
      <w:r>
        <w:rPr>
          <w:rFonts w:ascii="仿宋_GB2312" w:hAnsi="仿宋" w:eastAsia="仿宋_GB2312" w:cs="仿宋"/>
          <w:kern w:val="0"/>
          <w:sz w:val="32"/>
          <w:szCs w:val="32"/>
        </w:rPr>
        <w:t>92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分。</w:t>
      </w:r>
    </w:p>
    <w:p>
      <w:pPr>
        <w:spacing w:line="560" w:lineRule="exact"/>
        <w:ind w:left="210" w:leftChars="100"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ascii="仿宋_GB2312" w:hAnsi="仿宋" w:eastAsia="仿宋_GB2312" w:cs="仿宋"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产出指标完成情况分析</w:t>
      </w:r>
    </w:p>
    <w:p>
      <w:pPr>
        <w:spacing w:line="560" w:lineRule="exact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数量指标：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扶持贫困户</w:t>
      </w:r>
      <w:r>
        <w:rPr>
          <w:rFonts w:ascii="仿宋_GB2312" w:hAnsi="仿宋" w:eastAsia="仿宋_GB2312" w:cs="仿宋"/>
          <w:spacing w:val="-4"/>
          <w:sz w:val="32"/>
          <w:szCs w:val="32"/>
        </w:rPr>
        <w:t>38421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户，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spacing w:line="560" w:lineRule="exact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质量指标：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带动贫困户脱贫增收≥</w:t>
      </w:r>
      <w:r>
        <w:rPr>
          <w:rFonts w:ascii="仿宋_GB2312" w:hAnsi="仿宋" w:eastAsia="仿宋_GB2312" w:cs="仿宋"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，我单位严格按照实施方案执行，项目高标准、严要求，截至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年项目完成时，该项目完成质量良好。</w:t>
      </w:r>
    </w:p>
    <w:p>
      <w:pPr>
        <w:spacing w:line="560" w:lineRule="exact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时效指标：开工及时率100%，完工及时率年100%。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按照申报目标的进度进行，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.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）项目成本节约情况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成本指标：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贫困户扶持补贴标准5075元/户。</w:t>
      </w:r>
    </w:p>
    <w:p>
      <w:pPr>
        <w:spacing w:line="560" w:lineRule="exact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ascii="仿宋_GB2312" w:hAnsi="仿宋" w:eastAsia="仿宋_GB2312" w:cs="仿宋"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效益指标完成情况分析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经济效益指标：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贫困户人均增收</w:t>
      </w:r>
      <w:r>
        <w:rPr>
          <w:rFonts w:ascii="仿宋_GB2312" w:hAnsi="仿宋" w:eastAsia="仿宋_GB2312" w:cs="仿宋"/>
          <w:spacing w:val="-4"/>
          <w:sz w:val="32"/>
          <w:szCs w:val="32"/>
        </w:rPr>
        <w:t>1000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元以上，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spacing w:line="560" w:lineRule="exact"/>
        <w:ind w:firstLine="627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社会效益指标：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带动农户发展</w:t>
      </w:r>
      <w:r>
        <w:rPr>
          <w:rFonts w:ascii="仿宋_GB2312" w:hAnsi="仿宋" w:eastAsia="仿宋_GB2312" w:cs="仿宋"/>
          <w:spacing w:val="-4"/>
          <w:sz w:val="32"/>
          <w:szCs w:val="32"/>
        </w:rPr>
        <w:t>38000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户以上，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）项目实施的生态效益分</w:t>
      </w: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析</w:t>
      </w:r>
    </w:p>
    <w:p>
      <w:pPr>
        <w:spacing w:line="560" w:lineRule="exact"/>
        <w:ind w:firstLine="936" w:firstLineChars="3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生态效益指标：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 w:cs="仿宋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）项目实施的可持续影响分析</w:t>
      </w:r>
    </w:p>
    <w:p>
      <w:pPr>
        <w:spacing w:line="560" w:lineRule="exact"/>
        <w:ind w:firstLine="312" w:firstLineChars="1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可持续影响指标：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项目可持续影响</w:t>
      </w:r>
      <w:r>
        <w:rPr>
          <w:rFonts w:ascii="仿宋_GB2312" w:hAnsi="仿宋" w:eastAsia="仿宋_GB2312" w:cs="仿宋"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年。</w:t>
      </w:r>
    </w:p>
    <w:p>
      <w:pPr>
        <w:spacing w:line="560" w:lineRule="exact"/>
        <w:ind w:firstLine="312" w:firstLineChars="1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ascii="仿宋_GB2312" w:hAnsi="仿宋" w:eastAsia="仿宋_GB2312" w:cs="仿宋"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312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满意度指标：受益农户满意度超过95%，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按计划完成项目实施，已做满意度调查问卷，满意率达</w:t>
      </w:r>
      <w:r>
        <w:rPr>
          <w:rFonts w:ascii="仿宋_GB2312" w:hAnsi="仿宋" w:eastAsia="仿宋_GB2312" w:cs="仿宋"/>
          <w:spacing w:val="-4"/>
          <w:sz w:val="32"/>
          <w:szCs w:val="32"/>
        </w:rPr>
        <w:t>95%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，服务对象满意度指标完成。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pStyle w:val="11"/>
        <w:spacing w:line="56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持续加大产业扶贫力度，坚持“因地制宜、分类施策”原则，深入实施贫困地区特色产业提升工程，建成一批对贫困户脱贫带动能力强的特色农产品加工、服务基地；将产业扶贫纳入贫困县党政一把手，确保贫困户在产业发展中安定受益。深入实施就业扶贫，加快建设就业扶贫基地，积极开发生态公益性岗位，全面落实就业前免费技能培训和技能提升补贴政策，力争实现“就业一人、脱贫一户”。教育扶贫斩断穷根，实施贫困学生台账化精准控辍，确保贫困家庭适龄学生不因贫失学辍学。保障应保尽保，将贫困人口全部纳入城乡居民基本保险、大病保险和保障范围，切实降低贫困人口治疗负担。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、主要经验及做法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一是严格项目建设管理。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下拨项目资金后，我单位严格按照实施方案要求尽快实施项目，项目物资按照补助的原则实施，安排专人跟踪服务指导项目落实。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二是加强项目监督管理。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要依据确定的实施方案尽快开展项目实施，项目资金不得用于修建楼堂馆所等。县扶贫办、财政部门要定期对项目实施情况进行监督检查，跟踪问效，并定期上报项目实施情况。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三是强化项目绩效管理。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要确保项目建成后成效、有亮点，能起到引领示范作用，要注重梳理总结，提出一些好经验、好做法，形成一种新的发展模式便于今后推广。同时，要组织做好项目绩效考核工作。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无其说明内容。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同时，通过开展自我评价来总结经验和教训，为叶城县项目今后的开展提供参考建议。</w:t>
      </w:r>
    </w:p>
    <w:p>
      <w:pPr>
        <w:spacing w:line="560" w:lineRule="exact"/>
        <w:ind w:firstLine="640"/>
        <w:rPr>
          <w:rStyle w:val="20"/>
          <w:rFonts w:ascii="黑体" w:hAnsi="黑体" w:eastAsia="黑体" w:cs="黑体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20"/>
          <w:rFonts w:ascii="仿宋_GB2312" w:hAnsi="仿宋" w:eastAsia="仿宋_GB2312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仿宋_GB2312" w:hAnsi="仿宋" w:eastAsia="仿宋_GB2312"/>
          <w:b w:val="0"/>
          <w:bCs/>
          <w:spacing w:val="-4"/>
          <w:sz w:val="32"/>
          <w:szCs w:val="32"/>
        </w:rPr>
        <w:t>《项目支出绩效自评表》</w:t>
      </w: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5465"/>
    <w:rsid w:val="00021475"/>
    <w:rsid w:val="00056465"/>
    <w:rsid w:val="0007016B"/>
    <w:rsid w:val="00121AE4"/>
    <w:rsid w:val="00136BCC"/>
    <w:rsid w:val="00146AAD"/>
    <w:rsid w:val="00152390"/>
    <w:rsid w:val="001622BA"/>
    <w:rsid w:val="001733D3"/>
    <w:rsid w:val="001A6AC0"/>
    <w:rsid w:val="001B23F1"/>
    <w:rsid w:val="001B3A40"/>
    <w:rsid w:val="001B5BB8"/>
    <w:rsid w:val="00220617"/>
    <w:rsid w:val="002E3D7E"/>
    <w:rsid w:val="002F180E"/>
    <w:rsid w:val="00311626"/>
    <w:rsid w:val="00321CBD"/>
    <w:rsid w:val="00331623"/>
    <w:rsid w:val="00347D87"/>
    <w:rsid w:val="00351464"/>
    <w:rsid w:val="003954AA"/>
    <w:rsid w:val="003C2CF9"/>
    <w:rsid w:val="003E25FD"/>
    <w:rsid w:val="00400A5B"/>
    <w:rsid w:val="004347D5"/>
    <w:rsid w:val="004366A8"/>
    <w:rsid w:val="00465CB6"/>
    <w:rsid w:val="00502BA7"/>
    <w:rsid w:val="005139CA"/>
    <w:rsid w:val="005162F1"/>
    <w:rsid w:val="00535153"/>
    <w:rsid w:val="00554F82"/>
    <w:rsid w:val="0056390D"/>
    <w:rsid w:val="005719B0"/>
    <w:rsid w:val="005841B3"/>
    <w:rsid w:val="005C7BDA"/>
    <w:rsid w:val="005D10D6"/>
    <w:rsid w:val="005F63E3"/>
    <w:rsid w:val="0063597F"/>
    <w:rsid w:val="00656E69"/>
    <w:rsid w:val="00795364"/>
    <w:rsid w:val="007A10CE"/>
    <w:rsid w:val="007A593B"/>
    <w:rsid w:val="007D32F0"/>
    <w:rsid w:val="007E6716"/>
    <w:rsid w:val="00855E3A"/>
    <w:rsid w:val="0085785C"/>
    <w:rsid w:val="00885530"/>
    <w:rsid w:val="008B7424"/>
    <w:rsid w:val="008E6B23"/>
    <w:rsid w:val="008F2612"/>
    <w:rsid w:val="00922CB9"/>
    <w:rsid w:val="009556F1"/>
    <w:rsid w:val="0099379F"/>
    <w:rsid w:val="009A4D47"/>
    <w:rsid w:val="009E5CD9"/>
    <w:rsid w:val="00A065C6"/>
    <w:rsid w:val="00A26421"/>
    <w:rsid w:val="00A4293B"/>
    <w:rsid w:val="00A67D50"/>
    <w:rsid w:val="00A8691A"/>
    <w:rsid w:val="00AA78D4"/>
    <w:rsid w:val="00AC1946"/>
    <w:rsid w:val="00B1691B"/>
    <w:rsid w:val="00B24AC9"/>
    <w:rsid w:val="00B40063"/>
    <w:rsid w:val="00B41F61"/>
    <w:rsid w:val="00BA033E"/>
    <w:rsid w:val="00BA2447"/>
    <w:rsid w:val="00BA46E6"/>
    <w:rsid w:val="00BD371B"/>
    <w:rsid w:val="00BF7355"/>
    <w:rsid w:val="00C02FFF"/>
    <w:rsid w:val="00C2150A"/>
    <w:rsid w:val="00C30BE8"/>
    <w:rsid w:val="00C51AEB"/>
    <w:rsid w:val="00C56C72"/>
    <w:rsid w:val="00C87A8E"/>
    <w:rsid w:val="00C95952"/>
    <w:rsid w:val="00CA6281"/>
    <w:rsid w:val="00CA6457"/>
    <w:rsid w:val="00CB0722"/>
    <w:rsid w:val="00CB0B61"/>
    <w:rsid w:val="00CC7212"/>
    <w:rsid w:val="00CF18DB"/>
    <w:rsid w:val="00CF1952"/>
    <w:rsid w:val="00D0140A"/>
    <w:rsid w:val="00D153F0"/>
    <w:rsid w:val="00D17C84"/>
    <w:rsid w:val="00D17F2E"/>
    <w:rsid w:val="00D30354"/>
    <w:rsid w:val="00D327DC"/>
    <w:rsid w:val="00D35A5E"/>
    <w:rsid w:val="00D4603F"/>
    <w:rsid w:val="00D531BF"/>
    <w:rsid w:val="00D63A49"/>
    <w:rsid w:val="00DA6AE1"/>
    <w:rsid w:val="00DD1016"/>
    <w:rsid w:val="00DF42A0"/>
    <w:rsid w:val="00E32AE0"/>
    <w:rsid w:val="00E564B5"/>
    <w:rsid w:val="00E769FE"/>
    <w:rsid w:val="00E774EB"/>
    <w:rsid w:val="00EA2CBE"/>
    <w:rsid w:val="00F2114A"/>
    <w:rsid w:val="00F245FF"/>
    <w:rsid w:val="00F32FEE"/>
    <w:rsid w:val="00F54A5F"/>
    <w:rsid w:val="00F673CD"/>
    <w:rsid w:val="00F77DB3"/>
    <w:rsid w:val="00FB10BB"/>
    <w:rsid w:val="00FC3B55"/>
    <w:rsid w:val="00FE11B9"/>
    <w:rsid w:val="00FF6025"/>
    <w:rsid w:val="02E37DE9"/>
    <w:rsid w:val="0D5D5A45"/>
    <w:rsid w:val="17E421EC"/>
    <w:rsid w:val="1B7D04BB"/>
    <w:rsid w:val="347362C2"/>
    <w:rsid w:val="5318217B"/>
    <w:rsid w:val="775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99"/>
    <w:pPr>
      <w:ind w:firstLine="420" w:firstLineChars="200"/>
    </w:pPr>
  </w:style>
  <w:style w:type="paragraph" w:styleId="12">
    <w:name w:val="Balloon Text"/>
    <w:basedOn w:val="1"/>
    <w:link w:val="31"/>
    <w:semiHidden/>
    <w:uiPriority w:val="99"/>
    <w:rPr>
      <w:sz w:val="18"/>
      <w:szCs w:val="18"/>
    </w:rPr>
  </w:style>
  <w:style w:type="paragraph" w:styleId="13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uiPriority w:val="99"/>
    <w:rPr>
      <w:rFonts w:ascii="Calibri" w:hAnsi="Calibri"/>
      <w:sz w:val="24"/>
      <w:szCs w:val="20"/>
    </w:rPr>
  </w:style>
  <w:style w:type="paragraph" w:styleId="17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99"/>
    <w:rPr>
      <w:rFonts w:cs="Times New Roman"/>
      <w:b/>
    </w:rPr>
  </w:style>
  <w:style w:type="character" w:styleId="21">
    <w:name w:val="Emphasis"/>
    <w:basedOn w:val="19"/>
    <w:qFormat/>
    <w:uiPriority w:val="99"/>
    <w:rPr>
      <w:rFonts w:ascii="Calibri" w:hAnsi="Calibri" w:cs="Times New Roman"/>
      <w:b/>
      <w:i/>
    </w:rPr>
  </w:style>
  <w:style w:type="character" w:customStyle="1" w:styleId="22">
    <w:name w:val="标题 1 Char"/>
    <w:basedOn w:val="19"/>
    <w:link w:val="2"/>
    <w:qFormat/>
    <w:locked/>
    <w:uiPriority w:val="99"/>
    <w:rPr>
      <w:rFonts w:ascii="Cambria" w:hAnsi="Cambria" w:eastAsia="宋体" w:cs="Times New Roman"/>
      <w:b/>
      <w:kern w:val="32"/>
      <w:sz w:val="32"/>
    </w:rPr>
  </w:style>
  <w:style w:type="character" w:customStyle="1" w:styleId="23">
    <w:name w:val="标题 2 Char"/>
    <w:basedOn w:val="19"/>
    <w:link w:val="3"/>
    <w:semiHidden/>
    <w:locked/>
    <w:uiPriority w:val="99"/>
    <w:rPr>
      <w:rFonts w:ascii="Cambria" w:hAnsi="Cambria" w:eastAsia="宋体" w:cs="Times New Roman"/>
      <w:b/>
      <w:i/>
      <w:sz w:val="28"/>
    </w:rPr>
  </w:style>
  <w:style w:type="character" w:customStyle="1" w:styleId="24">
    <w:name w:val="标题 3 Char"/>
    <w:basedOn w:val="19"/>
    <w:link w:val="4"/>
    <w:semiHidden/>
    <w:locked/>
    <w:uiPriority w:val="99"/>
    <w:rPr>
      <w:rFonts w:ascii="Cambria" w:hAnsi="Cambria" w:eastAsia="宋体" w:cs="Times New Roman"/>
      <w:b/>
      <w:sz w:val="26"/>
    </w:rPr>
  </w:style>
  <w:style w:type="character" w:customStyle="1" w:styleId="25">
    <w:name w:val="标题 4 Char"/>
    <w:basedOn w:val="19"/>
    <w:link w:val="5"/>
    <w:semiHidden/>
    <w:locked/>
    <w:uiPriority w:val="99"/>
    <w:rPr>
      <w:rFonts w:cs="Times New Roman"/>
      <w:b/>
      <w:sz w:val="28"/>
    </w:rPr>
  </w:style>
  <w:style w:type="character" w:customStyle="1" w:styleId="26">
    <w:name w:val="标题 5 Char"/>
    <w:basedOn w:val="19"/>
    <w:link w:val="6"/>
    <w:semiHidden/>
    <w:locked/>
    <w:uiPriority w:val="99"/>
    <w:rPr>
      <w:rFonts w:cs="Times New Roman"/>
      <w:b/>
      <w:i/>
      <w:sz w:val="26"/>
    </w:rPr>
  </w:style>
  <w:style w:type="character" w:customStyle="1" w:styleId="27">
    <w:name w:val="标题 6 Char"/>
    <w:basedOn w:val="19"/>
    <w:link w:val="7"/>
    <w:semiHidden/>
    <w:qFormat/>
    <w:locked/>
    <w:uiPriority w:val="99"/>
    <w:rPr>
      <w:rFonts w:cs="Times New Roman"/>
      <w:b/>
    </w:rPr>
  </w:style>
  <w:style w:type="character" w:customStyle="1" w:styleId="28">
    <w:name w:val="标题 7 Char"/>
    <w:basedOn w:val="19"/>
    <w:link w:val="8"/>
    <w:semiHidden/>
    <w:qFormat/>
    <w:locked/>
    <w:uiPriority w:val="99"/>
    <w:rPr>
      <w:rFonts w:cs="Times New Roman"/>
      <w:sz w:val="24"/>
    </w:rPr>
  </w:style>
  <w:style w:type="character" w:customStyle="1" w:styleId="29">
    <w:name w:val="标题 8 Char"/>
    <w:basedOn w:val="19"/>
    <w:link w:val="9"/>
    <w:semiHidden/>
    <w:locked/>
    <w:uiPriority w:val="99"/>
    <w:rPr>
      <w:rFonts w:cs="Times New Roman"/>
      <w:i/>
      <w:sz w:val="24"/>
    </w:rPr>
  </w:style>
  <w:style w:type="character" w:customStyle="1" w:styleId="30">
    <w:name w:val="标题 9 Char"/>
    <w:basedOn w:val="19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批注框文本 Char"/>
    <w:basedOn w:val="19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</w:rPr>
  </w:style>
  <w:style w:type="character" w:customStyle="1" w:styleId="32">
    <w:name w:val="页脚 Char"/>
    <w:basedOn w:val="19"/>
    <w:link w:val="13"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3">
    <w:name w:val="页眉 Char"/>
    <w:basedOn w:val="19"/>
    <w:link w:val="14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4">
    <w:name w:val="副标题 Char"/>
    <w:basedOn w:val="19"/>
    <w:link w:val="15"/>
    <w:qFormat/>
    <w:locked/>
    <w:uiPriority w:val="99"/>
    <w:rPr>
      <w:rFonts w:ascii="Cambria" w:hAnsi="Cambria" w:eastAsia="宋体" w:cs="Times New Roman"/>
      <w:sz w:val="24"/>
    </w:rPr>
  </w:style>
  <w:style w:type="character" w:customStyle="1" w:styleId="35">
    <w:name w:val="标题 Char"/>
    <w:basedOn w:val="19"/>
    <w:link w:val="17"/>
    <w:qFormat/>
    <w:locked/>
    <w:uiPriority w:val="99"/>
    <w:rPr>
      <w:rFonts w:ascii="Cambria" w:hAnsi="Cambria" w:eastAsia="宋体" w:cs="Times New Roman"/>
      <w:b/>
      <w:kern w:val="28"/>
      <w:sz w:val="32"/>
    </w:rPr>
  </w:style>
  <w:style w:type="paragraph" w:customStyle="1" w:styleId="36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7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8">
    <w:name w:val="引用1"/>
    <w:basedOn w:val="1"/>
    <w:next w:val="1"/>
    <w:link w:val="39"/>
    <w:qFormat/>
    <w:uiPriority w:val="99"/>
    <w:pPr>
      <w:widowControl/>
      <w:jc w:val="left"/>
    </w:pPr>
    <w:rPr>
      <w:i/>
      <w:kern w:val="0"/>
      <w:sz w:val="24"/>
    </w:rPr>
  </w:style>
  <w:style w:type="character" w:customStyle="1" w:styleId="39">
    <w:name w:val="引用 Char"/>
    <w:basedOn w:val="19"/>
    <w:link w:val="38"/>
    <w:qFormat/>
    <w:locked/>
    <w:uiPriority w:val="99"/>
    <w:rPr>
      <w:rFonts w:cs="Times New Roman"/>
      <w:i/>
      <w:sz w:val="24"/>
    </w:rPr>
  </w:style>
  <w:style w:type="paragraph" w:customStyle="1" w:styleId="40">
    <w:name w:val="明显引用1"/>
    <w:basedOn w:val="1"/>
    <w:next w:val="1"/>
    <w:link w:val="41"/>
    <w:qFormat/>
    <w:uiPriority w:val="99"/>
    <w:pPr>
      <w:widowControl/>
      <w:ind w:left="720" w:right="720"/>
      <w:jc w:val="left"/>
    </w:pPr>
    <w:rPr>
      <w:b/>
      <w:i/>
      <w:kern w:val="0"/>
      <w:sz w:val="24"/>
      <w:szCs w:val="20"/>
    </w:rPr>
  </w:style>
  <w:style w:type="character" w:customStyle="1" w:styleId="41">
    <w:name w:val="明显引用 Char"/>
    <w:basedOn w:val="19"/>
    <w:link w:val="40"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不明显强调1"/>
    <w:uiPriority w:val="99"/>
    <w:rPr>
      <w:i/>
      <w:color w:val="5A5A5A"/>
    </w:rPr>
  </w:style>
  <w:style w:type="character" w:customStyle="1" w:styleId="43">
    <w:name w:val="明显强调1"/>
    <w:qFormat/>
    <w:uiPriority w:val="99"/>
    <w:rPr>
      <w:b/>
      <w:i/>
      <w:sz w:val="24"/>
      <w:u w:val="single"/>
    </w:rPr>
  </w:style>
  <w:style w:type="character" w:customStyle="1" w:styleId="44">
    <w:name w:val="不明显参考1"/>
    <w:uiPriority w:val="99"/>
    <w:rPr>
      <w:sz w:val="24"/>
      <w:u w:val="single"/>
    </w:rPr>
  </w:style>
  <w:style w:type="character" w:customStyle="1" w:styleId="45">
    <w:name w:val="明显参考1"/>
    <w:qFormat/>
    <w:uiPriority w:val="99"/>
    <w:rPr>
      <w:b/>
      <w:sz w:val="24"/>
      <w:u w:val="single"/>
    </w:rPr>
  </w:style>
  <w:style w:type="character" w:customStyle="1" w:styleId="46">
    <w:name w:val="书籍标题1"/>
    <w:qFormat/>
    <w:uiPriority w:val="99"/>
    <w:rPr>
      <w:rFonts w:ascii="Cambria" w:hAnsi="Cambria" w:eastAsia="宋体"/>
      <w:b/>
      <w:i/>
      <w:sz w:val="24"/>
    </w:rPr>
  </w:style>
  <w:style w:type="paragraph" w:customStyle="1" w:styleId="47">
    <w:name w:val="TOC 标题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520</Words>
  <Characters>2965</Characters>
  <Lines>24</Lines>
  <Paragraphs>6</Paragraphs>
  <TotalTime>0</TotalTime>
  <ScaleCrop>false</ScaleCrop>
  <LinksUpToDate>false</LinksUpToDate>
  <CharactersWithSpaces>3479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2019-08-21T10:50:00Z</dcterms:created>
  <dc:creator>赵 恺（预算处）</dc:creator>
  <cp:lastModifiedBy>Administrator</cp:lastModifiedBy>
  <cp:lastPrinted>2018-12-31T10:56:00Z</cp:lastPrinted>
  <dcterms:modified xsi:type="dcterms:W3CDTF">2021-07-12T14:48:47Z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