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（</w:t>
      </w:r>
      <w:r>
        <w:rPr>
          <w:rFonts w:ascii="黑体" w:hAnsi="宋体" w:eastAsia="黑体" w:cs="宋体"/>
          <w:kern w:val="0"/>
          <w:sz w:val="32"/>
          <w:szCs w:val="32"/>
        </w:rPr>
        <w:t>2018</w:t>
      </w:r>
      <w:r>
        <w:rPr>
          <w:rFonts w:hint="eastAsia" w:ascii="黑体" w:hAnsi="宋体" w:eastAsia="黑体" w:cs="宋体"/>
          <w:kern w:val="0"/>
          <w:sz w:val="32"/>
          <w:szCs w:val="32"/>
        </w:rPr>
        <w:t>年度）</w:t>
      </w:r>
    </w:p>
    <w:p>
      <w:pPr>
        <w:spacing w:line="540" w:lineRule="exact"/>
        <w:jc w:val="center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40" w:lineRule="exact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项目名称：</w:t>
      </w:r>
      <w:r>
        <w:rPr>
          <w:rFonts w:hint="eastAsia" w:ascii="仿宋_GB2312" w:eastAsia="仿宋_GB2312" w:cs="仿宋_GB2312"/>
          <w:sz w:val="32"/>
          <w:szCs w:val="32"/>
        </w:rPr>
        <w:t>叶城县小额贴息项目</w:t>
      </w:r>
      <w:bookmarkStart w:id="0" w:name="_GoBack"/>
      <w:bookmarkEnd w:id="0"/>
    </w:p>
    <w:p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马世江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填报时间：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 w:eastAsia="zh-TW"/>
        </w:rPr>
        <w:t>201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年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月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6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9"/>
          <w:rFonts w:ascii="仿宋_GB2312" w:hAnsi="楷体" w:eastAsia="仿宋_GB2312"/>
          <w:bCs/>
          <w:color w:val="FF000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567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叶城县扶贫办</w:t>
      </w:r>
      <w:r>
        <w:rPr>
          <w:rFonts w:hint="eastAsia" w:ascii="仿宋_GB2312" w:hAnsi="宋体" w:eastAsia="仿宋_GB2312"/>
          <w:bCs/>
          <w:sz w:val="32"/>
          <w:szCs w:val="32"/>
        </w:rPr>
        <w:t>贯彻执行国家、自治区、地区扶贫开发领导小组和移民后期扶持工作方针政策，研究制定叶城县扶贫开发战略规划，负责组织、编制和制定县扶贫开发规划和年度计划，制定完善扶贫专项资金、涉农整合资金、援疆扶贫资金、物资管理办法，提出县年度扶贫开发项目计划，做好项目实施的组织、协调、检查、监督以及落实，组织实施产业化扶贫计划，引导、扶持扶贫龙头企业发，协调管理信贷扶贫工作，争取外部资金对叶城县援助并组织实施外资扶贫项目，制定县扶贫标准方案，对扶贫开发情况进行统计和动态监测，负责贫困户建档立卡管理。</w:t>
      </w:r>
    </w:p>
    <w:p>
      <w:pPr>
        <w:pStyle w:val="15"/>
        <w:shd w:val="clear" w:color="auto" w:fill="FFFFFF"/>
        <w:spacing w:line="560" w:lineRule="exact"/>
        <w:ind w:firstLine="624" w:firstLineChars="200"/>
        <w:rPr>
          <w:rStyle w:val="19"/>
          <w:rFonts w:ascii="仿宋_GB2312" w:eastAsia="仿宋_GB2312" w:cs="宋体"/>
          <w:b w:val="0"/>
          <w:bCs/>
          <w:spacing w:val="-4"/>
          <w:sz w:val="32"/>
          <w:szCs w:val="32"/>
        </w:rPr>
      </w:pP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人员情况：叶城县扶贫办行政编制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人，事业编制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3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2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人，机关工勤编制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人。</w:t>
      </w:r>
    </w:p>
    <w:p>
      <w:pPr>
        <w:spacing w:line="56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60" w:lineRule="exact"/>
        <w:ind w:firstLine="640" w:firstLineChars="200"/>
        <w:jc w:val="left"/>
        <w:rPr>
          <w:rStyle w:val="19"/>
          <w:rFonts w:ascii="仿宋_GB2312" w:eastAsia="仿宋_GB2312"/>
          <w:b w:val="0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项目绩效总体目标：充分借助小额贴息帮助贫困农户脱贫致富的金融杠杆作用，落实有效的贫困农户小额信用贷款等措施，切实解决贫困农户产业发展的资金困难，安定实现贫困农户增收脱贫。每户补贴免息标准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518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.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Style w:val="19"/>
          <w:rFonts w:ascii="仿宋_GB2312" w:eastAsia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叶城县</w:t>
      </w:r>
      <w:r>
        <w:rPr>
          <w:rFonts w:hint="eastAsia" w:ascii="仿宋_GB2312" w:hAnsi="宋体" w:eastAsia="仿宋_GB2312" w:cs="仿宋_GB2312"/>
          <w:sz w:val="32"/>
          <w:szCs w:val="32"/>
          <w:lang w:val="zh-TW"/>
        </w:rPr>
        <w:t>小额贴息</w:t>
      </w:r>
      <w:r>
        <w:rPr>
          <w:rFonts w:hint="eastAsia" w:ascii="仿宋_GB2312" w:hAnsi="宋体" w:eastAsia="仿宋_GB2312" w:cs="仿宋_GB2312"/>
          <w:sz w:val="32"/>
          <w:szCs w:val="32"/>
        </w:rPr>
        <w:t>项目预算安排总额为</w:t>
      </w:r>
      <w:r>
        <w:rPr>
          <w:rFonts w:ascii="仿宋_GB2312" w:hAnsi="宋体" w:eastAsia="仿宋_GB2312" w:cs="仿宋_GB2312"/>
          <w:sz w:val="32"/>
          <w:szCs w:val="32"/>
        </w:rPr>
        <w:t>587.84</w:t>
      </w:r>
      <w:r>
        <w:rPr>
          <w:rFonts w:hint="eastAsia" w:ascii="仿宋_GB2312" w:hAnsi="宋体" w:eastAsia="仿宋_GB2312" w:cs="仿宋_GB2312"/>
          <w:sz w:val="32"/>
          <w:szCs w:val="32"/>
        </w:rPr>
        <w:t>万元，新财扶〔</w:t>
      </w:r>
      <w:r>
        <w:rPr>
          <w:rFonts w:ascii="仿宋_GB2312" w:hAnsi="宋体" w:eastAsia="仿宋_GB2312" w:cs="仿宋_GB2312"/>
          <w:sz w:val="32"/>
          <w:szCs w:val="32"/>
        </w:rPr>
        <w:t>2017</w:t>
      </w:r>
      <w:r>
        <w:rPr>
          <w:rFonts w:hint="eastAsia" w:ascii="仿宋_GB2312" w:hAnsi="宋体" w:eastAsia="仿宋_GB2312" w:cs="仿宋_GB2312"/>
          <w:sz w:val="32"/>
          <w:szCs w:val="32"/>
        </w:rPr>
        <w:t>〕</w:t>
      </w:r>
      <w:r>
        <w:rPr>
          <w:rFonts w:ascii="仿宋_GB2312" w:hAnsi="宋体" w:eastAsia="仿宋_GB2312" w:cs="仿宋_GB2312"/>
          <w:sz w:val="32"/>
          <w:szCs w:val="32"/>
        </w:rPr>
        <w:t>47</w:t>
      </w:r>
      <w:r>
        <w:rPr>
          <w:rFonts w:hint="eastAsia" w:ascii="仿宋_GB2312" w:hAnsi="宋体" w:eastAsia="仿宋_GB2312" w:cs="仿宋_GB2312"/>
          <w:sz w:val="32"/>
          <w:szCs w:val="32"/>
        </w:rPr>
        <w:t>号、喀地财扶［</w:t>
      </w:r>
      <w:r>
        <w:rPr>
          <w:rFonts w:ascii="仿宋_GB2312" w:hAnsi="宋体" w:eastAsia="仿宋_GB2312" w:cs="仿宋_GB2312"/>
          <w:sz w:val="32"/>
          <w:szCs w:val="32"/>
        </w:rPr>
        <w:t>2017</w:t>
      </w:r>
      <w:r>
        <w:rPr>
          <w:rFonts w:hint="eastAsia" w:ascii="仿宋_GB2312" w:hAnsi="宋体" w:eastAsia="仿宋_GB2312" w:cs="仿宋_GB2312"/>
          <w:sz w:val="32"/>
          <w:szCs w:val="32"/>
        </w:rPr>
        <w:t>］</w:t>
      </w:r>
      <w:r>
        <w:rPr>
          <w:rFonts w:ascii="仿宋_GB2312" w:hAnsi="宋体" w:eastAsia="仿宋_GB2312" w:cs="仿宋_GB2312"/>
          <w:sz w:val="32"/>
          <w:szCs w:val="32"/>
        </w:rPr>
        <w:t>30</w:t>
      </w:r>
      <w:r>
        <w:rPr>
          <w:rFonts w:hint="eastAsia" w:ascii="仿宋_GB2312" w:hAnsi="宋体" w:eastAsia="仿宋_GB2312" w:cs="仿宋_GB2312"/>
          <w:sz w:val="32"/>
          <w:szCs w:val="32"/>
        </w:rPr>
        <w:t>号</w:t>
      </w:r>
      <w:r>
        <w:rPr>
          <w:rFonts w:ascii="仿宋_GB2312" w:hAnsi="宋体" w:eastAsia="仿宋_GB2312" w:cs="仿宋_GB2312"/>
          <w:sz w:val="32"/>
          <w:szCs w:val="32"/>
        </w:rPr>
        <w:t>(</w:t>
      </w:r>
      <w:r>
        <w:rPr>
          <w:rFonts w:hint="eastAsia" w:ascii="仿宋_GB2312" w:hAnsi="宋体" w:eastAsia="仿宋_GB2312" w:cs="仿宋_GB2312"/>
          <w:sz w:val="32"/>
          <w:szCs w:val="32"/>
        </w:rPr>
        <w:t>，其中财政资金</w:t>
      </w:r>
      <w:r>
        <w:rPr>
          <w:rFonts w:ascii="仿宋_GB2312" w:hAnsi="宋体" w:eastAsia="仿宋_GB2312" w:cs="仿宋_GB2312"/>
          <w:sz w:val="32"/>
          <w:szCs w:val="32"/>
        </w:rPr>
        <w:t>587.84</w:t>
      </w:r>
      <w:r>
        <w:rPr>
          <w:rFonts w:hint="eastAsia" w:ascii="仿宋_GB2312" w:hAnsi="宋体" w:eastAsia="仿宋_GB2312" w:cs="仿宋_GB2312"/>
          <w:sz w:val="32"/>
          <w:szCs w:val="32"/>
        </w:rPr>
        <w:t>万元，</w:t>
      </w:r>
      <w:r>
        <w:rPr>
          <w:rFonts w:ascii="仿宋_GB2312" w:hAnsi="宋体" w:eastAsia="仿宋_GB2312" w:cs="仿宋_GB2312"/>
          <w:sz w:val="32"/>
          <w:szCs w:val="32"/>
        </w:rPr>
        <w:t xml:space="preserve"> 2018</w:t>
      </w:r>
      <w:r>
        <w:rPr>
          <w:rFonts w:hint="eastAsia" w:ascii="仿宋_GB2312" w:hAnsi="宋体" w:eastAsia="仿宋_GB2312" w:cs="仿宋_GB2312"/>
          <w:sz w:val="32"/>
          <w:szCs w:val="32"/>
        </w:rPr>
        <w:t>年实际收到预算资金</w:t>
      </w:r>
      <w:r>
        <w:rPr>
          <w:rFonts w:ascii="仿宋_GB2312" w:hAnsi="宋体" w:eastAsia="仿宋_GB2312" w:cs="仿宋_GB2312"/>
          <w:sz w:val="32"/>
          <w:szCs w:val="32"/>
        </w:rPr>
        <w:t>587.84</w:t>
      </w:r>
      <w:r>
        <w:rPr>
          <w:rFonts w:hint="eastAsia" w:ascii="仿宋_GB2312" w:hAnsi="宋体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567" w:firstLineChars="181"/>
        <w:rPr>
          <w:rStyle w:val="19"/>
          <w:rFonts w:ascii="仿宋_GB2312" w:hAnsi="楷体" w:eastAsia="仿宋_GB2312"/>
          <w:bCs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本项目实际支付资金</w:t>
      </w:r>
      <w:r>
        <w:rPr>
          <w:rFonts w:ascii="仿宋_GB2312" w:hAnsi="仿宋_GB2312" w:eastAsia="仿宋_GB2312" w:cs="仿宋_GB2312"/>
          <w:sz w:val="32"/>
          <w:szCs w:val="32"/>
        </w:rPr>
        <w:t>587.84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</w:t>
      </w:r>
      <w:r>
        <w:rPr>
          <w:rFonts w:ascii="仿宋_GB2312" w:hAnsi="仿宋_GB2312" w:eastAsia="仿宋_GB2312" w:cs="仿宋_GB2312"/>
          <w:sz w:val="32"/>
          <w:szCs w:val="32"/>
        </w:rPr>
        <w:t>100%,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没有结余资金。资金主要用于补贴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贫困农户小额信用贷款利息，切实解决贫困农户产业发展的资金困难，安定实现贫困农户增收脱贫。</w:t>
      </w:r>
    </w:p>
    <w:p>
      <w:pPr>
        <w:spacing w:line="56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本项目根据新政办发【</w:t>
      </w:r>
      <w:r>
        <w:rPr>
          <w:rFonts w:ascii="仿宋_GB2312" w:hAnsi="宋体" w:eastAsia="仿宋_GB2312" w:cs="仿宋_GB2312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sz w:val="32"/>
          <w:szCs w:val="32"/>
        </w:rPr>
        <w:t>】</w:t>
      </w:r>
      <w:r>
        <w:rPr>
          <w:rFonts w:ascii="仿宋_GB2312" w:hAnsi="宋体" w:eastAsia="仿宋_GB2312" w:cs="仿宋_GB2312"/>
          <w:sz w:val="32"/>
          <w:szCs w:val="32"/>
        </w:rPr>
        <w:t>77</w:t>
      </w:r>
      <w:r>
        <w:rPr>
          <w:rFonts w:hint="eastAsia" w:ascii="仿宋_GB2312" w:hAnsi="宋体" w:eastAsia="仿宋_GB2312" w:cs="仿宋_GB2312"/>
          <w:sz w:val="32"/>
          <w:szCs w:val="32"/>
        </w:rPr>
        <w:t>号文件规定，支出符合叶城县扶贫办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该项目属于补助项目</w:t>
      </w:r>
      <w:r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  <w:t>,</w:t>
      </w:r>
      <w:r>
        <w:rPr>
          <w:rStyle w:val="19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没有达到招投标限额</w:t>
      </w:r>
      <w:r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  <w:t>,</w:t>
      </w:r>
      <w:r>
        <w:rPr>
          <w:rStyle w:val="19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spacing w:line="560" w:lineRule="exact"/>
        <w:ind w:firstLine="567" w:firstLineChars="181"/>
        <w:rPr>
          <w:rStyle w:val="19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Cs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项目的实施遵守</w:t>
      </w:r>
      <w:r>
        <w:rPr>
          <w:rFonts w:hint="eastAsia" w:ascii="仿宋_GB2312" w:hAnsi="宋体" w:eastAsia="仿宋_GB2312" w:cs="仿宋_GB2312"/>
          <w:sz w:val="32"/>
          <w:szCs w:val="32"/>
        </w:rPr>
        <w:t>新政办发【</w:t>
      </w:r>
      <w:r>
        <w:rPr>
          <w:rFonts w:ascii="仿宋_GB2312" w:hAnsi="宋体" w:eastAsia="仿宋_GB2312" w:cs="仿宋_GB2312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sz w:val="32"/>
          <w:szCs w:val="32"/>
        </w:rPr>
        <w:t>】</w:t>
      </w:r>
      <w:r>
        <w:rPr>
          <w:rFonts w:ascii="仿宋_GB2312" w:hAnsi="宋体" w:eastAsia="仿宋_GB2312" w:cs="仿宋_GB2312"/>
          <w:sz w:val="32"/>
          <w:szCs w:val="32"/>
        </w:rPr>
        <w:t>77</w:t>
      </w:r>
      <w:r>
        <w:rPr>
          <w:rFonts w:hint="eastAsia" w:ascii="仿宋_GB2312" w:hAnsi="宋体" w:eastAsia="仿宋_GB2312" w:cs="仿宋_GB2312"/>
          <w:sz w:val="32"/>
          <w:szCs w:val="32"/>
        </w:rPr>
        <w:t>号文件规定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，项目资料齐全并及时归档，不定期对项目进度情况进行督导检查，对检查过程中发现的问题及时督促整改，确保了项目按时保质完成。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本项目共设置一级指标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个，二级指标8个，三级指标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个，其中已完成三级指标8个，指标完成率为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。根据年初设定的绩效目标，此项目自评得分为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分。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FF0000"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1.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数量指标：受益贫困户数量超过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11354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户，截止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质量指标：贴息精准率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。我单位严格按照实施方案执行，项目高标准、严要求，截至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年项目完成时，该项目完成质量良好。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）项目实施进度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时效指标：当年贷款贴息到账率100%，按照申报目标的进度进行，截止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成本指标：每户补助贴息标准518元。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2.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经济效益指标：增加收益贫困户人均收入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800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元以上，截止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社会效益指标：带动农户发展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10000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（户）以上，截止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）项目实施的生态效益分析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生态效益指标：无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可持续影响指标：小额贴息项目受益持续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3.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满意度指标：收益贫困户对贴息政策满意度95%，按计划完成项目实施，已做满意度调查问卷，满意率达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95%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，服务对象满意度指标完成。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ascii="仿宋_GB2312" w:hAnsi="仿宋" w:eastAsia="仿宋_GB2312"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（一）后续工作计划</w:t>
      </w:r>
    </w:p>
    <w:p>
      <w:pPr>
        <w:pStyle w:val="47"/>
        <w:spacing w:line="560" w:lineRule="exact"/>
        <w:ind w:firstLine="640" w:firstLineChars="200"/>
        <w:rPr>
          <w:rFonts w:ascii="仿宋_GB2312" w:eastAsia="仿宋_GB2312"/>
          <w:b/>
          <w:spacing w:val="-4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叶城县从项目决策、项目管理、项目绩效等方面实施小额贴息项目目标明确，项目决策符合经济社会发展规划，项目申报、批复程序符合相关管理办法。项目资金管理、使用规范，项目管理机构健全、分工明确管理规范，该项目的实施。有利于改变农民生产发展创业的积极性，提高村民生产生活水平，共同致富奔小康。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716" w:firstLineChars="224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sz w:val="32"/>
          <w:szCs w:val="32"/>
        </w:rPr>
        <w:t>、当前扶贫资金项目管理制度严格，审核严格，个别项目周期较长，资金拨付缓慢。</w:t>
      </w:r>
      <w:r>
        <w:rPr>
          <w:rFonts w:ascii="仿宋_GB2312" w:hAnsi="宋体" w:eastAsia="仿宋_GB2312" w:cs="仿宋_GB2312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sz w:val="32"/>
          <w:szCs w:val="32"/>
        </w:rPr>
        <w:t>、存在的重复申报和超标准贷款获取利息的情况。</w:t>
      </w:r>
      <w:r>
        <w:rPr>
          <w:rFonts w:ascii="仿宋_GB2312" w:hAnsi="宋体" w:eastAsia="仿宋_GB2312" w:cs="仿宋_GB2312"/>
          <w:sz w:val="32"/>
          <w:szCs w:val="32"/>
        </w:rPr>
        <w:t>3</w:t>
      </w:r>
      <w:r>
        <w:rPr>
          <w:rFonts w:hint="eastAsia" w:ascii="仿宋_GB2312" w:hAnsi="宋体" w:eastAsia="仿宋_GB2312" w:cs="仿宋_GB2312"/>
          <w:sz w:val="32"/>
          <w:szCs w:val="32"/>
        </w:rPr>
        <w:t>、农民小额贷款宣传力度有待提高。现阶段仍有很多困难农民对贴息政策不够了解，对发放贷款政策、贷款条件及流程理解不透彻。</w:t>
      </w:r>
      <w:r>
        <w:rPr>
          <w:rFonts w:ascii="仿宋_GB2312" w:eastAsia="仿宋_GB2312" w:cs="仿宋_GB2312"/>
          <w:sz w:val="32"/>
          <w:szCs w:val="32"/>
        </w:rPr>
        <w:t> </w:t>
      </w:r>
    </w:p>
    <w:p>
      <w:pPr>
        <w:pStyle w:val="47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sz w:val="32"/>
          <w:szCs w:val="32"/>
        </w:rPr>
        <w:t>、领导高度重视，认真贯彻落实国家政策，做到专款专用，做好小额贷款贴息工作。</w:t>
      </w:r>
    </w:p>
    <w:p>
      <w:pPr>
        <w:pStyle w:val="47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sz w:val="32"/>
          <w:szCs w:val="32"/>
        </w:rPr>
        <w:t>、做好协调工作，要主动协调乡镇、村委会配合经办信用社在发放贷款时遇到的问题，使项目顺利完成。</w:t>
      </w:r>
      <w:r>
        <w:rPr>
          <w:rFonts w:ascii="仿宋_GB2312" w:eastAsia="仿宋_GB2312" w:cs="仿宋_GB2312"/>
          <w:sz w:val="32"/>
          <w:szCs w:val="32"/>
        </w:rPr>
        <w:t> </w:t>
      </w:r>
    </w:p>
    <w:p>
      <w:pPr>
        <w:pStyle w:val="47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3</w:t>
      </w:r>
      <w:r>
        <w:rPr>
          <w:rFonts w:hint="eastAsia" w:ascii="仿宋_GB2312" w:hAnsi="宋体" w:eastAsia="仿宋_GB2312" w:cs="仿宋_GB2312"/>
          <w:sz w:val="32"/>
          <w:szCs w:val="32"/>
        </w:rPr>
        <w:t>、下一步，应该加强贴息政策的学习，不断完善农民小额贷款贴贴息信贷业务的学习，才能更加准确地把握好工作方向。不断组织金融机构深入基层开展各种宣传活动，不断提高广大农户对农民小额贷款贴息政策的认识，加大农民诚信还贷意识。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无其他说明内容。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本次评价通过文件研读、实地调研、数据分析等方式，全面了解项目资金的使用效率和效果，项目管理过程是否规范，是否完成了预期绩效目标等。同时，通过开展自我评价来总结经验和教训，为叶城县设施农业项目今后的开展提供参考建议。</w:t>
      </w:r>
    </w:p>
    <w:p>
      <w:pPr>
        <w:spacing w:line="560" w:lineRule="exact"/>
        <w:ind w:firstLine="640"/>
        <w:rPr>
          <w:rStyle w:val="19"/>
          <w:rFonts w:ascii="黑体" w:hAnsi="黑体" w:eastAsia="黑体" w:cs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19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《项目支出绩效自评表》</w:t>
      </w:r>
    </w:p>
    <w:p>
      <w:pPr>
        <w:spacing w:line="540" w:lineRule="exact"/>
        <w:rPr>
          <w:rStyle w:val="19"/>
          <w:rFonts w:ascii="仿宋" w:hAnsi="仿宋" w:eastAsia="仿宋"/>
          <w:b w:val="0"/>
          <w:bCs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2E1B"/>
    <w:rsid w:val="00056465"/>
    <w:rsid w:val="000C77CF"/>
    <w:rsid w:val="000F47CD"/>
    <w:rsid w:val="00121AE4"/>
    <w:rsid w:val="00122D40"/>
    <w:rsid w:val="00136BCC"/>
    <w:rsid w:val="00146AAD"/>
    <w:rsid w:val="001552C4"/>
    <w:rsid w:val="00156DA6"/>
    <w:rsid w:val="00160225"/>
    <w:rsid w:val="001733D3"/>
    <w:rsid w:val="001B10D5"/>
    <w:rsid w:val="001B23F1"/>
    <w:rsid w:val="001B3A40"/>
    <w:rsid w:val="001B3C41"/>
    <w:rsid w:val="00220617"/>
    <w:rsid w:val="00251B17"/>
    <w:rsid w:val="002A26A6"/>
    <w:rsid w:val="002B5DBF"/>
    <w:rsid w:val="00306DFC"/>
    <w:rsid w:val="00311626"/>
    <w:rsid w:val="00321CBD"/>
    <w:rsid w:val="00331623"/>
    <w:rsid w:val="00347D87"/>
    <w:rsid w:val="003B62BF"/>
    <w:rsid w:val="003C2CF9"/>
    <w:rsid w:val="003D64FD"/>
    <w:rsid w:val="004366A8"/>
    <w:rsid w:val="00502BA7"/>
    <w:rsid w:val="005162F1"/>
    <w:rsid w:val="00535153"/>
    <w:rsid w:val="00554F82"/>
    <w:rsid w:val="0056390D"/>
    <w:rsid w:val="005719B0"/>
    <w:rsid w:val="005874D3"/>
    <w:rsid w:val="005D10D6"/>
    <w:rsid w:val="0062040C"/>
    <w:rsid w:val="0063597F"/>
    <w:rsid w:val="00652F2F"/>
    <w:rsid w:val="006558FE"/>
    <w:rsid w:val="00656E69"/>
    <w:rsid w:val="00672C4C"/>
    <w:rsid w:val="006C4DF0"/>
    <w:rsid w:val="006D2E82"/>
    <w:rsid w:val="006D7D3A"/>
    <w:rsid w:val="006E7E00"/>
    <w:rsid w:val="007076EF"/>
    <w:rsid w:val="00723059"/>
    <w:rsid w:val="00726983"/>
    <w:rsid w:val="007A593B"/>
    <w:rsid w:val="007C49E7"/>
    <w:rsid w:val="007C7FBE"/>
    <w:rsid w:val="007D32F0"/>
    <w:rsid w:val="007E6716"/>
    <w:rsid w:val="00816084"/>
    <w:rsid w:val="008310F2"/>
    <w:rsid w:val="00841B79"/>
    <w:rsid w:val="00851670"/>
    <w:rsid w:val="00855E3A"/>
    <w:rsid w:val="00881CD6"/>
    <w:rsid w:val="00885530"/>
    <w:rsid w:val="008E500E"/>
    <w:rsid w:val="008E6B23"/>
    <w:rsid w:val="008F2612"/>
    <w:rsid w:val="00917EEB"/>
    <w:rsid w:val="00922CB9"/>
    <w:rsid w:val="009378DD"/>
    <w:rsid w:val="0099379F"/>
    <w:rsid w:val="009E2788"/>
    <w:rsid w:val="009E5CD9"/>
    <w:rsid w:val="00A26421"/>
    <w:rsid w:val="00A4293B"/>
    <w:rsid w:val="00A65B98"/>
    <w:rsid w:val="00A67D50"/>
    <w:rsid w:val="00A8691A"/>
    <w:rsid w:val="00A947BF"/>
    <w:rsid w:val="00AA78D4"/>
    <w:rsid w:val="00AC1946"/>
    <w:rsid w:val="00AF227D"/>
    <w:rsid w:val="00B40063"/>
    <w:rsid w:val="00B41F61"/>
    <w:rsid w:val="00B43412"/>
    <w:rsid w:val="00B53A87"/>
    <w:rsid w:val="00BA2447"/>
    <w:rsid w:val="00BA46E6"/>
    <w:rsid w:val="00BF7355"/>
    <w:rsid w:val="00C257B1"/>
    <w:rsid w:val="00C40811"/>
    <w:rsid w:val="00C465ED"/>
    <w:rsid w:val="00C56C72"/>
    <w:rsid w:val="00C87A8E"/>
    <w:rsid w:val="00C95952"/>
    <w:rsid w:val="00CA5A08"/>
    <w:rsid w:val="00CA6457"/>
    <w:rsid w:val="00CB0722"/>
    <w:rsid w:val="00CB48E3"/>
    <w:rsid w:val="00D14451"/>
    <w:rsid w:val="00D17F2E"/>
    <w:rsid w:val="00D30354"/>
    <w:rsid w:val="00D35A5E"/>
    <w:rsid w:val="00DD1016"/>
    <w:rsid w:val="00DF3379"/>
    <w:rsid w:val="00DF42A0"/>
    <w:rsid w:val="00E014AF"/>
    <w:rsid w:val="00E32AE0"/>
    <w:rsid w:val="00E52A3F"/>
    <w:rsid w:val="00E564B5"/>
    <w:rsid w:val="00E769FE"/>
    <w:rsid w:val="00E87CDA"/>
    <w:rsid w:val="00EA2CBE"/>
    <w:rsid w:val="00F03A0F"/>
    <w:rsid w:val="00F224DD"/>
    <w:rsid w:val="00F32FEE"/>
    <w:rsid w:val="00F63F71"/>
    <w:rsid w:val="00F661E8"/>
    <w:rsid w:val="00FB10BB"/>
    <w:rsid w:val="00FC3B55"/>
    <w:rsid w:val="00FE11B9"/>
    <w:rsid w:val="02E37DE9"/>
    <w:rsid w:val="0D5D5A45"/>
    <w:rsid w:val="17E421EC"/>
    <w:rsid w:val="347362C2"/>
    <w:rsid w:val="3B3E0D96"/>
    <w:rsid w:val="4A294774"/>
    <w:rsid w:val="7894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</w:rPr>
  </w:style>
  <w:style w:type="character" w:customStyle="1" w:styleId="21">
    <w:name w:val="标题 1 Char"/>
    <w:basedOn w:val="18"/>
    <w:link w:val="2"/>
    <w:qFormat/>
    <w:locked/>
    <w:uiPriority w:val="99"/>
    <w:rPr>
      <w:rFonts w:ascii="Cambria" w:hAnsi="Cambria" w:eastAsia="宋体" w:cs="Times New Roman"/>
      <w:b/>
      <w:kern w:val="32"/>
      <w:sz w:val="32"/>
    </w:rPr>
  </w:style>
  <w:style w:type="character" w:customStyle="1" w:styleId="22">
    <w:name w:val="标题 2 Char"/>
    <w:basedOn w:val="18"/>
    <w:link w:val="3"/>
    <w:semiHidden/>
    <w:qFormat/>
    <w:locked/>
    <w:uiPriority w:val="99"/>
    <w:rPr>
      <w:rFonts w:ascii="Cambria" w:hAnsi="Cambria" w:eastAsia="宋体" w:cs="Times New Roman"/>
      <w:b/>
      <w:i/>
      <w:sz w:val="28"/>
    </w:rPr>
  </w:style>
  <w:style w:type="character" w:customStyle="1" w:styleId="23">
    <w:name w:val="标题 3 Char"/>
    <w:basedOn w:val="18"/>
    <w:link w:val="4"/>
    <w:semiHidden/>
    <w:qFormat/>
    <w:locked/>
    <w:uiPriority w:val="99"/>
    <w:rPr>
      <w:rFonts w:ascii="Cambria" w:hAnsi="Cambria" w:eastAsia="宋体" w:cs="Times New Roman"/>
      <w:b/>
      <w:sz w:val="26"/>
    </w:rPr>
  </w:style>
  <w:style w:type="character" w:customStyle="1" w:styleId="24">
    <w:name w:val="标题 4 Char"/>
    <w:basedOn w:val="18"/>
    <w:link w:val="5"/>
    <w:semiHidden/>
    <w:qFormat/>
    <w:locked/>
    <w:uiPriority w:val="99"/>
    <w:rPr>
      <w:rFonts w:cs="Times New Roman"/>
      <w:b/>
      <w:sz w:val="28"/>
    </w:rPr>
  </w:style>
  <w:style w:type="character" w:customStyle="1" w:styleId="25">
    <w:name w:val="标题 5 Char"/>
    <w:basedOn w:val="18"/>
    <w:link w:val="6"/>
    <w:semiHidden/>
    <w:qFormat/>
    <w:locked/>
    <w:uiPriority w:val="99"/>
    <w:rPr>
      <w:rFonts w:cs="Times New Roman"/>
      <w:b/>
      <w:i/>
      <w:sz w:val="26"/>
    </w:rPr>
  </w:style>
  <w:style w:type="character" w:customStyle="1" w:styleId="26">
    <w:name w:val="标题 6 Char"/>
    <w:basedOn w:val="18"/>
    <w:link w:val="7"/>
    <w:semiHidden/>
    <w:qFormat/>
    <w:locked/>
    <w:uiPriority w:val="99"/>
    <w:rPr>
      <w:rFonts w:cs="Times New Roman"/>
      <w:b/>
    </w:rPr>
  </w:style>
  <w:style w:type="character" w:customStyle="1" w:styleId="27">
    <w:name w:val="标题 7 Char"/>
    <w:basedOn w:val="18"/>
    <w:link w:val="8"/>
    <w:semiHidden/>
    <w:qFormat/>
    <w:locked/>
    <w:uiPriority w:val="99"/>
    <w:rPr>
      <w:rFonts w:cs="Times New Roman"/>
      <w:sz w:val="24"/>
    </w:rPr>
  </w:style>
  <w:style w:type="character" w:customStyle="1" w:styleId="28">
    <w:name w:val="标题 8 Char"/>
    <w:basedOn w:val="18"/>
    <w:link w:val="9"/>
    <w:semiHidden/>
    <w:qFormat/>
    <w:locked/>
    <w:uiPriority w:val="99"/>
    <w:rPr>
      <w:rFonts w:cs="Times New Roman"/>
      <w:i/>
      <w:sz w:val="24"/>
    </w:rPr>
  </w:style>
  <w:style w:type="character" w:customStyle="1" w:styleId="29">
    <w:name w:val="标题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8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</w:rPr>
  </w:style>
  <w:style w:type="character" w:customStyle="1" w:styleId="31">
    <w:name w:val="页脚 Char"/>
    <w:basedOn w:val="18"/>
    <w:link w:val="12"/>
    <w:qFormat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2">
    <w:name w:val="页眉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3">
    <w:name w:val="副标题 Char"/>
    <w:basedOn w:val="18"/>
    <w:link w:val="14"/>
    <w:locked/>
    <w:uiPriority w:val="99"/>
    <w:rPr>
      <w:rFonts w:ascii="Cambria" w:hAnsi="Cambria" w:eastAsia="宋体" w:cs="Times New Roman"/>
      <w:sz w:val="24"/>
    </w:rPr>
  </w:style>
  <w:style w:type="character" w:customStyle="1" w:styleId="34">
    <w:name w:val="标题 Char"/>
    <w:basedOn w:val="18"/>
    <w:link w:val="16"/>
    <w:qFormat/>
    <w:locked/>
    <w:uiPriority w:val="99"/>
    <w:rPr>
      <w:rFonts w:ascii="Cambria" w:hAnsi="Cambria" w:eastAsia="宋体" w:cs="Times New Roman"/>
      <w:b/>
      <w:kern w:val="28"/>
      <w:sz w:val="32"/>
    </w:rPr>
  </w:style>
  <w:style w:type="paragraph" w:customStyle="1" w:styleId="35">
    <w:name w:val="无间隔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6">
    <w:name w:val="列出段落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7">
    <w:name w:val="引用1"/>
    <w:basedOn w:val="1"/>
    <w:next w:val="1"/>
    <w:link w:val="38"/>
    <w:qFormat/>
    <w:uiPriority w:val="99"/>
    <w:pPr>
      <w:widowControl/>
      <w:jc w:val="left"/>
    </w:pPr>
    <w:rPr>
      <w:i/>
      <w:kern w:val="0"/>
      <w:sz w:val="24"/>
    </w:rPr>
  </w:style>
  <w:style w:type="character" w:customStyle="1" w:styleId="38">
    <w:name w:val="Quote Char"/>
    <w:basedOn w:val="18"/>
    <w:link w:val="37"/>
    <w:locked/>
    <w:uiPriority w:val="99"/>
    <w:rPr>
      <w:rFonts w:cs="Times New Roman"/>
      <w:i/>
      <w:sz w:val="24"/>
    </w:rPr>
  </w:style>
  <w:style w:type="paragraph" w:customStyle="1" w:styleId="39">
    <w:name w:val="明显引用1"/>
    <w:basedOn w:val="1"/>
    <w:next w:val="1"/>
    <w:link w:val="40"/>
    <w:qFormat/>
    <w:uiPriority w:val="99"/>
    <w:pPr>
      <w:widowControl/>
      <w:ind w:left="720" w:right="720"/>
      <w:jc w:val="left"/>
    </w:pPr>
    <w:rPr>
      <w:b/>
      <w:i/>
      <w:kern w:val="0"/>
      <w:sz w:val="24"/>
      <w:szCs w:val="20"/>
    </w:rPr>
  </w:style>
  <w:style w:type="character" w:customStyle="1" w:styleId="40">
    <w:name w:val="Intense Quote Char"/>
    <w:basedOn w:val="18"/>
    <w:link w:val="39"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A5A5A"/>
    </w:rPr>
  </w:style>
  <w:style w:type="character" w:customStyle="1" w:styleId="42">
    <w:name w:val="明显强调1"/>
    <w:qFormat/>
    <w:uiPriority w:val="99"/>
    <w:rPr>
      <w:b/>
      <w:i/>
      <w:sz w:val="24"/>
      <w:u w:val="single"/>
    </w:rPr>
  </w:style>
  <w:style w:type="character" w:customStyle="1" w:styleId="43">
    <w:name w:val="不明显参考1"/>
    <w:uiPriority w:val="99"/>
    <w:rPr>
      <w:sz w:val="24"/>
      <w:u w:val="single"/>
    </w:rPr>
  </w:style>
  <w:style w:type="character" w:customStyle="1" w:styleId="44">
    <w:name w:val="明显参考1"/>
    <w:qFormat/>
    <w:uiPriority w:val="99"/>
    <w:rPr>
      <w:b/>
      <w:sz w:val="24"/>
      <w:u w:val="single"/>
    </w:rPr>
  </w:style>
  <w:style w:type="character" w:customStyle="1" w:styleId="45">
    <w:name w:val="书籍标题1"/>
    <w:qFormat/>
    <w:uiPriority w:val="99"/>
    <w:rPr>
      <w:rFonts w:ascii="Cambria" w:hAnsi="Cambria" w:eastAsia="宋体"/>
      <w:b/>
      <w:i/>
      <w:sz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  <w:style w:type="paragraph" w:customStyle="1" w:styleId="47">
    <w:name w:val="_Style 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371</Words>
  <Characters>2119</Characters>
  <Lines>17</Lines>
  <Paragraphs>4</Paragraphs>
  <TotalTime>0</TotalTime>
  <ScaleCrop>false</ScaleCrop>
  <LinksUpToDate>false</LinksUpToDate>
  <CharactersWithSpaces>2486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2019-08-21T10:41:00Z</dcterms:created>
  <dc:creator>赵 恺（预算处）</dc:creator>
  <cp:lastModifiedBy>Administrator</cp:lastModifiedBy>
  <cp:lastPrinted>2018-12-31T10:56:00Z</cp:lastPrinted>
  <dcterms:modified xsi:type="dcterms:W3CDTF">2021-07-12T14:49:48Z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