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方正小标宋_GBK" w:hAnsi="宋体" w:eastAsia="方正小标宋_GBK"/>
          <w:sz w:val="44"/>
          <w:szCs w:val="44"/>
          <w:lang w:eastAsia="zh-CN"/>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年度新疆喀什地区叶城县园艺工作站部门决算公开说明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参与制订全县农业及农村经济工作发展规划，将农业科研成果及实用技术应用于农业生产，促使农业增产增效，实现农业现代化。</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从决算单位构成看，新疆喀什地区叶城县园艺工作站部门决算包括：新疆喀什地区叶城县园艺工作站部门本级决算、所属单位决算等。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纳入新疆喀什地区叶城县园艺工作站</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jc w:val="left"/>
            </w:pPr>
            <w:r>
              <w:rPr>
                <w:rFonts w:hint="eastAsia" w:ascii="仿宋_GB2312" w:eastAsia="仿宋_GB2312" w:cs="仿宋_GB2312"/>
                <w:position w:val="-1"/>
                <w:sz w:val="32"/>
                <w:szCs w:val="32"/>
              </w:rPr>
              <w:t>新疆喀什地区叶城县园艺工作站</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1,630.91</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1,331.77</w:t>
      </w:r>
      <w:r>
        <w:rPr>
          <w:rFonts w:hint="eastAsia" w:ascii="仿宋_GB2312" w:eastAsia="仿宋_GB2312" w:cs="仿宋_GB2312"/>
          <w:sz w:val="32"/>
          <w:szCs w:val="32"/>
        </w:rPr>
        <w:t>万元，增长</w:t>
      </w:r>
      <w:r>
        <w:rPr>
          <w:rFonts w:ascii="仿宋_GB2312" w:eastAsia="仿宋_GB2312" w:cs="仿宋_GB2312"/>
          <w:sz w:val="32"/>
          <w:szCs w:val="32"/>
        </w:rPr>
        <w:t>445.2%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本年新增项目资金，在职人员基本工资、艰苦地区补贴增加，人员正常晋升；</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1,630.91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1,331.77</w:t>
      </w:r>
      <w:r>
        <w:rPr>
          <w:rFonts w:hint="eastAsia" w:ascii="仿宋_GB2312" w:eastAsia="仿宋_GB2312" w:cs="仿宋_GB2312"/>
          <w:sz w:val="32"/>
          <w:szCs w:val="32"/>
        </w:rPr>
        <w:t>万元，增长</w:t>
      </w:r>
      <w:r>
        <w:rPr>
          <w:rFonts w:ascii="仿宋_GB2312" w:eastAsia="仿宋_GB2312" w:cs="仿宋_GB2312"/>
          <w:sz w:val="32"/>
          <w:szCs w:val="32"/>
        </w:rPr>
        <w:t>445.2%</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本年新增项目资金，在职人员基本工资、艰苦地区补贴增加，人员正常晋升；</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r>
        <w:rPr>
          <w:rFonts w:hint="eastAsia" w:ascii="仿宋_GB2312" w:eastAsia="仿宋_GB2312" w:cs="仿宋_GB2312"/>
          <w:color w:val="000000"/>
          <w:sz w:val="32"/>
          <w:szCs w:val="32"/>
        </w:rPr>
        <w:t>增加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，增加的主要原因是：无结余。</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1,630.91</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1,613.7</w:t>
      </w:r>
      <w:r>
        <w:rPr>
          <w:rFonts w:hint="eastAsia" w:ascii="仿宋_GB2312" w:eastAsia="仿宋_GB2312" w:cs="仿宋_GB2312"/>
          <w:color w:val="000000"/>
          <w:sz w:val="32"/>
          <w:szCs w:val="32"/>
        </w:rPr>
        <w:t>万元，占</w:t>
      </w:r>
      <w:r>
        <w:rPr>
          <w:rFonts w:ascii="仿宋_GB2312" w:eastAsia="仿宋_GB2312" w:cs="仿宋_GB2312"/>
          <w:sz w:val="32"/>
          <w:szCs w:val="32"/>
        </w:rPr>
        <w:t>98.94%</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17.21</w:t>
      </w:r>
      <w:r>
        <w:rPr>
          <w:rFonts w:hint="eastAsia" w:ascii="仿宋_GB2312" w:eastAsia="仿宋_GB2312" w:cs="仿宋_GB2312"/>
          <w:color w:val="000000"/>
          <w:sz w:val="32"/>
          <w:szCs w:val="32"/>
        </w:rPr>
        <w:t>万元，占</w:t>
      </w:r>
      <w:r>
        <w:rPr>
          <w:rFonts w:ascii="仿宋_GB2312" w:eastAsia="仿宋_GB2312" w:cs="仿宋_GB2312"/>
          <w:sz w:val="32"/>
          <w:szCs w:val="32"/>
        </w:rPr>
        <w:t>1.06%</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254.12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1,630.91</w:t>
      </w:r>
      <w:r>
        <w:rPr>
          <w:rFonts w:hint="eastAsia" w:ascii="仿宋_GB2312" w:eastAsia="仿宋_GB2312" w:cs="仿宋_GB2312"/>
          <w:sz w:val="32"/>
          <w:szCs w:val="32"/>
        </w:rPr>
        <w:t>万元，预决算差异率</w:t>
      </w:r>
      <w:r>
        <w:rPr>
          <w:rFonts w:ascii="仿宋_GB2312" w:eastAsia="仿宋_GB2312" w:cs="仿宋_GB2312"/>
          <w:sz w:val="32"/>
          <w:szCs w:val="32"/>
        </w:rPr>
        <w:t>541.79%</w:t>
      </w:r>
      <w:r>
        <w:rPr>
          <w:rFonts w:hint="eastAsia" w:ascii="仿宋_GB2312" w:eastAsia="仿宋_GB2312" w:cs="仿宋_GB2312"/>
          <w:sz w:val="32"/>
          <w:szCs w:val="32"/>
        </w:rPr>
        <w:t>，差异主要原因是本年新增项目资金，人员正常晋升，在职人员基本工资、艰苦地区补贴增加</w:t>
      </w:r>
      <w:bookmarkEnd w:id="15"/>
      <w:r>
        <w:rPr>
          <w:rFonts w:hint="eastAsia" w:ascii="仿宋_GB2312" w:eastAsia="仿宋_GB2312" w:cs="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1,630.91</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261.51</w:t>
      </w:r>
      <w:r>
        <w:rPr>
          <w:rFonts w:hint="eastAsia" w:ascii="仿宋_GB2312" w:eastAsia="仿宋_GB2312" w:cs="仿宋_GB2312"/>
          <w:color w:val="000000"/>
          <w:sz w:val="32"/>
          <w:szCs w:val="32"/>
        </w:rPr>
        <w:t>万元，占</w:t>
      </w:r>
      <w:r>
        <w:rPr>
          <w:rFonts w:ascii="仿宋_GB2312" w:eastAsia="仿宋_GB2312" w:cs="仿宋_GB2312"/>
          <w:sz w:val="32"/>
          <w:szCs w:val="32"/>
        </w:rPr>
        <w:t>16.03%</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1,369.4</w:t>
      </w:r>
      <w:r>
        <w:rPr>
          <w:rFonts w:hint="eastAsia" w:ascii="仿宋_GB2312" w:eastAsia="仿宋_GB2312" w:cs="仿宋_GB2312"/>
          <w:color w:val="000000"/>
          <w:sz w:val="32"/>
          <w:szCs w:val="32"/>
        </w:rPr>
        <w:t>万元，占</w:t>
      </w:r>
      <w:r>
        <w:rPr>
          <w:rFonts w:ascii="仿宋_GB2312" w:eastAsia="仿宋_GB2312" w:cs="仿宋_GB2312"/>
          <w:sz w:val="32"/>
          <w:szCs w:val="32"/>
        </w:rPr>
        <w:t>83.97%</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254.12</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1,630.91</w:t>
      </w:r>
      <w:r>
        <w:rPr>
          <w:rFonts w:hint="eastAsia" w:ascii="仿宋_GB2312" w:eastAsia="仿宋_GB2312" w:cs="仿宋_GB2312"/>
          <w:sz w:val="32"/>
          <w:szCs w:val="32"/>
        </w:rPr>
        <w:t>万元，预决算差异率</w:t>
      </w:r>
      <w:r>
        <w:rPr>
          <w:rFonts w:ascii="仿宋_GB2312" w:eastAsia="仿宋_GB2312" w:cs="仿宋_GB2312"/>
          <w:sz w:val="32"/>
          <w:szCs w:val="32"/>
        </w:rPr>
        <w:t>541.79%</w:t>
      </w:r>
      <w:r>
        <w:rPr>
          <w:rFonts w:hint="eastAsia" w:ascii="仿宋_GB2312" w:eastAsia="仿宋_GB2312" w:cs="仿宋_GB2312"/>
          <w:sz w:val="32"/>
          <w:szCs w:val="32"/>
        </w:rPr>
        <w:t>，差异主要原因是本年新增项目资金，人员正常晋升，在职人员基本工资、艰苦地区补贴增加。</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s="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w:t>
      </w:r>
      <w:bookmarkEnd w:id="25"/>
      <w:r>
        <w:rPr>
          <w:rFonts w:hint="eastAsia" w:ascii="仿宋_GB2312" w:eastAsia="仿宋_GB2312" w:cs="仿宋_GB2312"/>
          <w:color w:val="000000"/>
          <w:sz w:val="32"/>
          <w:szCs w:val="32"/>
        </w:rPr>
        <w:t>入</w:t>
      </w:r>
      <w:r>
        <w:rPr>
          <w:rFonts w:ascii="仿宋_GB2312" w:eastAsia="仿宋_GB2312" w:cs="仿宋_GB2312"/>
          <w:sz w:val="32"/>
          <w:szCs w:val="32"/>
        </w:rPr>
        <w:t>1,613.7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1,314.56</w:t>
      </w:r>
      <w:r>
        <w:rPr>
          <w:rFonts w:hint="eastAsia" w:ascii="仿宋_GB2312" w:eastAsia="仿宋_GB2312" w:cs="仿宋_GB2312"/>
          <w:sz w:val="32"/>
          <w:szCs w:val="32"/>
        </w:rPr>
        <w:t>万元，增长</w:t>
      </w:r>
      <w:r>
        <w:rPr>
          <w:rFonts w:ascii="仿宋_GB2312" w:eastAsia="仿宋_GB2312" w:cs="仿宋_GB2312"/>
          <w:sz w:val="32"/>
          <w:szCs w:val="32"/>
        </w:rPr>
        <w:t>439.45%</w:t>
      </w:r>
      <w:r>
        <w:rPr>
          <w:rFonts w:hint="eastAsia" w:ascii="仿宋_GB2312" w:eastAsia="仿宋_GB2312" w:cs="仿宋_GB2312"/>
          <w:sz w:val="32"/>
          <w:szCs w:val="32"/>
        </w:rPr>
        <w:t>，增加的主要原因是：本年新增项目资金，人员正常晋升，在职人员基本工资、艰苦地区补贴增加。</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1,613.7</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1,314.56</w:t>
      </w:r>
      <w:r>
        <w:rPr>
          <w:rFonts w:hint="eastAsia" w:ascii="仿宋_GB2312" w:eastAsia="仿宋_GB2312" w:cs="仿宋_GB2312"/>
          <w:sz w:val="32"/>
          <w:szCs w:val="32"/>
        </w:rPr>
        <w:t>万元，增长</w:t>
      </w:r>
      <w:r>
        <w:rPr>
          <w:rFonts w:ascii="仿宋_GB2312" w:eastAsia="仿宋_GB2312" w:cs="仿宋_GB2312"/>
          <w:sz w:val="32"/>
          <w:szCs w:val="32"/>
        </w:rPr>
        <w:t>439.45%</w:t>
      </w:r>
      <w:r>
        <w:rPr>
          <w:rFonts w:hint="eastAsia" w:ascii="仿宋_GB2312" w:eastAsia="仿宋_GB2312" w:cs="仿宋_GB2312"/>
          <w:sz w:val="32"/>
          <w:szCs w:val="32"/>
        </w:rPr>
        <w:t>，增加的主要原因是：本年新增项目资金，人员正常晋升，在职人员基本工资、艰苦地区补贴增加。</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261.51</w:t>
      </w:r>
      <w:r>
        <w:rPr>
          <w:rFonts w:hint="eastAsia" w:ascii="仿宋_GB2312" w:eastAsia="仿宋_GB2312" w:cs="仿宋_GB2312"/>
          <w:color w:val="000000"/>
          <w:sz w:val="32"/>
          <w:szCs w:val="32"/>
        </w:rPr>
        <w:t>万元，项目支出</w:t>
      </w:r>
      <w:r>
        <w:rPr>
          <w:rFonts w:ascii="仿宋_GB2312" w:eastAsia="仿宋_GB2312" w:cs="仿宋_GB2312"/>
          <w:sz w:val="32"/>
          <w:szCs w:val="32"/>
        </w:rPr>
        <w:t>1,352.19</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bookmarkEnd w:id="29"/>
      <w:bookmarkStart w:id="32" w:name="OLE_LINK62"/>
      <w:r>
        <w:rPr>
          <w:rFonts w:hint="eastAsia" w:ascii="仿宋_GB2312" w:eastAsia="仿宋_GB2312" w:cs="仿宋_GB2312"/>
          <w:sz w:val="32"/>
          <w:szCs w:val="32"/>
        </w:rPr>
        <w:t>与上年相比</w:t>
      </w:r>
      <w:r>
        <w:rPr>
          <w:rFonts w:hint="eastAsia" w:ascii="仿宋_GB2312" w:eastAsia="仿宋_GB2312" w:cs="仿宋_GB2312"/>
          <w:color w:val="000000"/>
          <w:sz w:val="32"/>
          <w:szCs w:val="32"/>
        </w:rPr>
        <w:t>增加</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0%</w:t>
      </w:r>
      <w:r>
        <w:rPr>
          <w:rFonts w:hint="eastAsia" w:ascii="仿宋_GB2312" w:eastAsia="仿宋_GB2312" w:cs="仿宋_GB2312"/>
          <w:color w:val="000000"/>
          <w:sz w:val="32"/>
          <w:szCs w:val="32"/>
        </w:rPr>
        <w:t>，增加的主要原因是：无结余结转。</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254.12</w:t>
      </w:r>
      <w:r>
        <w:rPr>
          <w:rFonts w:hint="eastAsia" w:ascii="仿宋_GB2312" w:eastAsia="仿宋_GB2312" w:cs="仿宋_GB2312"/>
          <w:color w:val="000000"/>
          <w:sz w:val="32"/>
          <w:szCs w:val="32"/>
        </w:rPr>
        <w:t>万元，决算数</w:t>
      </w:r>
      <w:r>
        <w:rPr>
          <w:rFonts w:ascii="仿宋_GB2312" w:eastAsia="仿宋_GB2312" w:cs="仿宋_GB2312"/>
          <w:sz w:val="32"/>
          <w:szCs w:val="32"/>
        </w:rPr>
        <w:t>1,613.7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535.01%</w:t>
      </w:r>
      <w:r>
        <w:rPr>
          <w:rFonts w:hint="eastAsia" w:ascii="仿宋_GB2312" w:eastAsia="仿宋_GB2312" w:cs="仿宋_GB2312"/>
          <w:color w:val="000000"/>
          <w:sz w:val="32"/>
          <w:szCs w:val="32"/>
        </w:rPr>
        <w:t>，差异主要原因是本年新增项目资金，在职人员基本工资、艰苦地区补贴增加，人员正常晋升。</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254.12</w:t>
      </w:r>
      <w:r>
        <w:rPr>
          <w:rFonts w:hint="eastAsia" w:ascii="仿宋_GB2312" w:eastAsia="仿宋_GB2312" w:cs="仿宋_GB2312"/>
          <w:color w:val="000000"/>
          <w:sz w:val="32"/>
          <w:szCs w:val="32"/>
        </w:rPr>
        <w:t>万元，决算数</w:t>
      </w:r>
      <w:r>
        <w:rPr>
          <w:rFonts w:ascii="仿宋_GB2312" w:eastAsia="仿宋_GB2312" w:cs="仿宋_GB2312"/>
          <w:sz w:val="32"/>
          <w:szCs w:val="32"/>
        </w:rPr>
        <w:t>1,613.7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535.01%</w:t>
      </w:r>
      <w:r>
        <w:rPr>
          <w:rFonts w:hint="eastAsia" w:ascii="仿宋_GB2312" w:eastAsia="仿宋_GB2312" w:cs="仿宋_GB2312"/>
          <w:color w:val="000000"/>
          <w:sz w:val="32"/>
          <w:szCs w:val="32"/>
        </w:rPr>
        <w:t>，差异主要原因是本年新增项目资金，人员正常晋升，在职人员基本工资、艰苦地区补贴增加。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1,613.7</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1,314.56</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439.45%</w:t>
      </w:r>
      <w:r>
        <w:rPr>
          <w:rFonts w:hint="eastAsia" w:ascii="仿宋_GB2312" w:eastAsia="仿宋_GB2312" w:cs="仿宋_GB2312"/>
          <w:color w:val="000000"/>
          <w:sz w:val="32"/>
          <w:szCs w:val="32"/>
        </w:rPr>
        <w:t>，增加的主要原因是：本年新增项目资金，人员正常晋升，在职人员基本工资、艰苦地区补贴增加。</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1,613.7</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1,314.56</w:t>
      </w:r>
      <w:r>
        <w:rPr>
          <w:rFonts w:hint="eastAsia" w:ascii="仿宋_GB2312" w:eastAsia="仿宋_GB2312" w:cs="仿宋_GB2312"/>
          <w:sz w:val="32"/>
          <w:szCs w:val="32"/>
        </w:rPr>
        <w:t>万元，增长</w:t>
      </w:r>
      <w:r>
        <w:rPr>
          <w:rFonts w:ascii="仿宋_GB2312" w:eastAsia="仿宋_GB2312" w:cs="仿宋_GB2312"/>
          <w:sz w:val="32"/>
          <w:szCs w:val="32"/>
        </w:rPr>
        <w:t>439.45%</w:t>
      </w:r>
      <w:r>
        <w:rPr>
          <w:rFonts w:hint="eastAsia" w:ascii="仿宋_GB2312" w:eastAsia="仿宋_GB2312" w:cs="仿宋_GB2312"/>
          <w:sz w:val="32"/>
          <w:szCs w:val="32"/>
        </w:rPr>
        <w:t>，增加的主要原因是：本年新增项目资金，人员正常晋升，在职人员基本工资、艰苦地区补贴增加。</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17.02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1,567.92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28.77</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252.2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4.68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4.64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1,352.19</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254.12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1,613.7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535.01%</w:t>
      </w:r>
      <w:r>
        <w:rPr>
          <w:rFonts w:hint="eastAsia" w:ascii="仿宋_GB2312" w:eastAsia="仿宋_GB2312" w:cs="仿宋_GB2312"/>
          <w:color w:val="000000"/>
          <w:sz w:val="32"/>
          <w:szCs w:val="32"/>
        </w:rPr>
        <w:t>，差异主要原因是本年新增项目资金，人员正常晋升，在职人员基本工资、艰苦地区补贴增加。</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254.12</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1,613.7</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535.01%</w:t>
      </w:r>
      <w:r>
        <w:rPr>
          <w:rFonts w:hint="eastAsia" w:ascii="仿宋_GB2312" w:eastAsia="仿宋_GB2312" w:cs="仿宋_GB2312"/>
          <w:color w:val="000000"/>
          <w:sz w:val="32"/>
          <w:szCs w:val="32"/>
        </w:rPr>
        <w:t>，差异主要原因是本年新增项目资金叶城县</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年拱棚项目和观光园补助项目资金，人员正常晋升，在职人员基本工资、艰苦地区补贴增加。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，增加的主要原因是：无政府性基金。</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，增加的主要原因是：无政府性基金。</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，无。按经济分类科目（按类级科目公开），无。</w:t>
      </w:r>
    </w:p>
    <w:p>
      <w:pPr>
        <w:spacing w:line="540" w:lineRule="exact"/>
        <w:ind w:firstLine="640" w:firstLineChars="200"/>
        <w:rPr>
          <w:rFonts w:ascii="仿宋_GB2312" w:eastAsia="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w:t>
      </w:r>
      <w:bookmarkEnd w:id="51"/>
      <w:r>
        <w:rPr>
          <w:rFonts w:hint="eastAsia" w:ascii="仿宋_GB2312" w:eastAsia="仿宋_GB2312" w:cs="仿宋_GB2312"/>
          <w:color w:val="000000"/>
          <w:sz w:val="32"/>
          <w:szCs w:val="32"/>
        </w:rPr>
        <w:t>政府性基金。</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w:t>
      </w:r>
      <w:r>
        <w:rPr>
          <w:rFonts w:hint="eastAsia" w:ascii="仿宋_GB2312" w:eastAsia="仿宋_GB2312" w:cs="仿宋_GB2312"/>
          <w:color w:val="000000"/>
          <w:sz w:val="32"/>
          <w:szCs w:val="32"/>
          <w:lang w:eastAsia="zh-CN"/>
        </w:rPr>
        <w:t>经费</w:t>
      </w:r>
      <w:r>
        <w:rPr>
          <w:rFonts w:hint="eastAsia" w:ascii="仿宋_GB2312" w:eastAsia="仿宋_GB2312" w:cs="仿宋_GB2312"/>
          <w:color w:val="000000"/>
          <w:sz w:val="32"/>
          <w:szCs w:val="32"/>
        </w:rPr>
        <w:t>支出决算</w:t>
      </w:r>
      <w:bookmarkEnd w:id="57"/>
      <w:r>
        <w:rPr>
          <w:rFonts w:ascii="仿宋_GB2312" w:eastAsia="仿宋_GB2312" w:cs="仿宋_GB2312"/>
          <w:sz w:val="32"/>
          <w:szCs w:val="32"/>
        </w:rPr>
        <w:t>1.35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0.85</w:t>
      </w:r>
      <w:r>
        <w:rPr>
          <w:rFonts w:hint="eastAsia" w:ascii="仿宋_GB2312" w:eastAsia="仿宋_GB2312" w:cs="仿宋_GB2312"/>
          <w:sz w:val="32"/>
          <w:szCs w:val="32"/>
        </w:rPr>
        <w:t>万元，降低</w:t>
      </w:r>
      <w:r>
        <w:rPr>
          <w:rFonts w:ascii="仿宋_GB2312" w:eastAsia="仿宋_GB2312" w:cs="仿宋_GB2312"/>
          <w:sz w:val="32"/>
          <w:szCs w:val="32"/>
        </w:rPr>
        <w:t>38.64%</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我单位认真贯彻落实中央和自治区厉行节约的各项规定，严格控制和降低行政运行成本，大力压缩“</w:t>
      </w:r>
      <w:bookmarkStart w:id="91" w:name="_GoBack"/>
      <w:bookmarkEnd w:id="91"/>
      <w:r>
        <w:rPr>
          <w:rFonts w:hint="eastAsia" w:ascii="仿宋_GB2312" w:eastAsia="仿宋_GB2312" w:cs="仿宋_GB2312"/>
          <w:color w:val="000000"/>
          <w:sz w:val="32"/>
          <w:szCs w:val="32"/>
        </w:rPr>
        <w:t>三公”经费支出规模</w:t>
      </w:r>
      <w:r>
        <w:rPr>
          <w:rFonts w:hint="eastAsia" w:ascii="仿宋_GB2312" w:eastAsia="仿宋_GB2312" w:cs="仿宋_GB2312"/>
          <w:sz w:val="32"/>
          <w:szCs w:val="32"/>
        </w:rPr>
        <w:t>。其中：</w:t>
      </w:r>
      <w:bookmarkStart w:id="58" w:name="OLE_LINK30"/>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bookmarkEnd w:id="58"/>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，与上年相比，增加0万元，增长0%，增加的主要原因是：我单位无考察、培训等安排；</w:t>
      </w:r>
      <w:bookmarkEnd w:id="56"/>
      <w:bookmarkStart w:id="59" w:name="OLE_LINK31"/>
      <w:bookmarkStart w:id="60" w:name="OLE_LINK76"/>
      <w:r>
        <w:rPr>
          <w:rFonts w:hint="eastAsia" w:ascii="仿宋_GB2312" w:eastAsia="仿宋_GB2312" w:cs="仿宋_GB2312"/>
          <w:color w:val="000000"/>
          <w:sz w:val="32"/>
          <w:szCs w:val="32"/>
        </w:rPr>
        <w:t>公务用车购置及运行维护费支出</w:t>
      </w:r>
      <w:bookmarkEnd w:id="59"/>
      <w:r>
        <w:rPr>
          <w:rFonts w:ascii="仿宋_GB2312" w:eastAsia="仿宋_GB2312" w:cs="仿宋_GB2312"/>
          <w:sz w:val="32"/>
          <w:szCs w:val="32"/>
        </w:rPr>
        <w:t>1.35</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0.15</w:t>
      </w:r>
      <w:r>
        <w:rPr>
          <w:rFonts w:hint="eastAsia" w:ascii="仿宋_GB2312" w:eastAsia="仿宋_GB2312" w:cs="仿宋_GB2312"/>
          <w:sz w:val="32"/>
          <w:szCs w:val="32"/>
        </w:rPr>
        <w:t>万元，降低</w:t>
      </w:r>
      <w:r>
        <w:rPr>
          <w:rFonts w:ascii="仿宋_GB2312" w:eastAsia="仿宋_GB2312" w:cs="仿宋_GB2312"/>
          <w:sz w:val="32"/>
          <w:szCs w:val="32"/>
        </w:rPr>
        <w:t>10%</w:t>
      </w:r>
      <w:r>
        <w:rPr>
          <w:rFonts w:hint="eastAsia" w:ascii="仿宋_GB2312" w:eastAsia="仿宋_GB2312" w:cs="仿宋_GB2312"/>
          <w:sz w:val="32"/>
          <w:szCs w:val="32"/>
        </w:rPr>
        <w:t>，减少的主要原因是：</w:t>
      </w:r>
      <w:r>
        <w:rPr>
          <w:rFonts w:hint="eastAsia" w:ascii="仿宋_GB2312" w:eastAsia="仿宋_GB2312" w:cs="仿宋_GB2312"/>
          <w:color w:val="000000"/>
          <w:sz w:val="32"/>
          <w:szCs w:val="32"/>
        </w:rPr>
        <w:t>我单位严格遵守车辆管理制度，减少使用高耗油车辆，严禁公车私用。</w:t>
      </w:r>
      <w:bookmarkEnd w:id="60"/>
      <w:bookmarkStart w:id="61" w:name="OLE_LINK32"/>
      <w:bookmarkStart w:id="62" w:name="OLE_LINK77"/>
      <w:bookmarkStart w:id="63" w:name="OLE_LINK78"/>
      <w:bookmarkStart w:id="64" w:name="OLE_LINK79"/>
      <w:bookmarkStart w:id="65" w:name="OLE_LINK80"/>
      <w:r>
        <w:rPr>
          <w:rFonts w:hint="eastAsia" w:ascii="仿宋_GB2312" w:eastAsia="仿宋_GB2312" w:cs="仿宋_GB2312"/>
          <w:color w:val="000000"/>
          <w:sz w:val="32"/>
          <w:szCs w:val="32"/>
        </w:rPr>
        <w:t>公务接待费支出</w:t>
      </w:r>
      <w:bookmarkEnd w:id="6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，与上年相比，增加0万元，增长0%，增加的主要原因是：我单位严把监督检查关，对接待费严格控制，减少一切不必要的公务接待开支。</w:t>
      </w:r>
      <w:bookmarkEnd w:id="62"/>
      <w:bookmarkEnd w:id="63"/>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新疆喀什地区叶城县园艺工作站</w:t>
      </w:r>
      <w:r>
        <w:rPr>
          <w:rFonts w:hint="eastAsia" w:ascii="仿宋_GB2312" w:eastAsia="仿宋_GB2312" w:cs="仿宋_GB2312"/>
          <w:color w:val="000000"/>
          <w:sz w:val="32"/>
          <w:szCs w:val="32"/>
        </w:rPr>
        <w:t>单位</w:t>
      </w:r>
      <w:bookmarkStart w:id="66" w:name="OLE_LINK33"/>
      <w:r>
        <w:rPr>
          <w:rFonts w:hint="eastAsia" w:ascii="仿宋_GB2312" w:eastAsia="仿宋_GB2312" w:cs="仿宋_GB2312"/>
          <w:color w:val="000000"/>
          <w:sz w:val="32"/>
          <w:szCs w:val="32"/>
        </w:rPr>
        <w:t>全年</w:t>
      </w:r>
      <w:bookmarkStart w:id="67" w:name="OLE_LINK35"/>
      <w:bookmarkStart w:id="68" w:name="OLE_LINK34"/>
      <w:bookmarkStart w:id="69" w:name="OLE_LINK36"/>
      <w:r>
        <w:rPr>
          <w:rFonts w:hint="eastAsia" w:ascii="仿宋_GB2312" w:eastAsia="仿宋_GB2312" w:cs="仿宋_GB2312"/>
          <w:color w:val="000000"/>
          <w:sz w:val="32"/>
          <w:szCs w:val="32"/>
        </w:rPr>
        <w:t>使用一般公共预算财政拨款安排的因公</w:t>
      </w:r>
      <w:r>
        <w:rPr>
          <w:rFonts w:hint="eastAsia" w:ascii="仿宋_GB2312" w:eastAsia="仿宋_GB2312" w:cs="仿宋_GB2312"/>
          <w:color w:val="000000"/>
          <w:sz w:val="32"/>
          <w:szCs w:val="32"/>
          <w:lang w:eastAsia="zh-CN"/>
        </w:rPr>
        <w:t>出国（境）</w:t>
      </w:r>
      <w:r>
        <w:rPr>
          <w:rFonts w:hint="eastAsia" w:ascii="仿宋_GB2312" w:eastAsia="仿宋_GB2312" w:cs="仿宋_GB2312"/>
          <w:color w:val="000000"/>
          <w:sz w:val="32"/>
          <w:szCs w:val="32"/>
        </w:rPr>
        <w:t>团组</w:t>
      </w:r>
      <w:bookmarkEnd w:id="66"/>
      <w:bookmarkEnd w:id="67"/>
      <w:bookmarkEnd w:id="68"/>
      <w:r>
        <w:rPr>
          <w:rFonts w:ascii="仿宋_GB2312" w:eastAsia="仿宋_GB2312" w:cs="仿宋_GB2312"/>
          <w:sz w:val="32"/>
          <w:szCs w:val="32"/>
        </w:rPr>
        <w:t>0</w:t>
      </w:r>
      <w:r>
        <w:rPr>
          <w:rFonts w:hint="eastAsia" w:ascii="仿宋_GB2312" w:eastAsia="仿宋_GB2312" w:cs="仿宋_GB2312"/>
          <w:color w:val="000000"/>
          <w:sz w:val="32"/>
          <w:szCs w:val="32"/>
        </w:rPr>
        <w:t>个</w:t>
      </w:r>
      <w:bookmarkEnd w:id="69"/>
      <w:r>
        <w:rPr>
          <w:rFonts w:hint="eastAsia" w:ascii="仿宋_GB2312" w:eastAsia="仿宋_GB2312" w:cs="仿宋_GB2312"/>
          <w:color w:val="000000"/>
          <w:sz w:val="32"/>
          <w:szCs w:val="32"/>
        </w:rPr>
        <w:t>，</w:t>
      </w:r>
      <w:bookmarkStart w:id="70"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0"/>
      <w:r>
        <w:rPr>
          <w:rFonts w:hint="eastAsia" w:ascii="仿宋_GB2312" w:eastAsia="仿宋_GB2312" w:cs="仿宋_GB2312"/>
          <w:color w:val="000000"/>
          <w:sz w:val="32"/>
          <w:szCs w:val="32"/>
        </w:rPr>
        <w:t>。</w:t>
      </w:r>
      <w:bookmarkStart w:id="71" w:name="OLE_LINK38"/>
      <w:r>
        <w:rPr>
          <w:rFonts w:hint="eastAsia" w:ascii="仿宋_GB2312" w:eastAsia="仿宋_GB2312" w:cs="仿宋_GB2312"/>
          <w:color w:val="000000"/>
          <w:sz w:val="32"/>
          <w:szCs w:val="32"/>
        </w:rPr>
        <w:t>开支内容包括：</w:t>
      </w:r>
      <w:r>
        <w:rPr>
          <w:rFonts w:hint="eastAsia" w:ascii="仿宋_GB2312" w:eastAsia="仿宋_GB2312" w:cs="仿宋_GB2312"/>
          <w:sz w:val="32"/>
          <w:szCs w:val="32"/>
        </w:rPr>
        <w:t>我单位无考察、培训等安排</w:t>
      </w:r>
      <w:r>
        <w:rPr>
          <w:rFonts w:hint="eastAsia" w:ascii="仿宋_GB2312" w:eastAsia="仿宋_GB2312" w:cs="仿宋_GB2312"/>
          <w:color w:val="000000"/>
          <w:sz w:val="32"/>
          <w:szCs w:val="32"/>
        </w:rPr>
        <w:t>。。</w:t>
      </w:r>
      <w:bookmarkEnd w:id="64"/>
      <w:bookmarkEnd w:id="65"/>
      <w:bookmarkEnd w:id="71"/>
    </w:p>
    <w:p>
      <w:pPr>
        <w:spacing w:line="540" w:lineRule="exact"/>
        <w:ind w:firstLine="640" w:firstLineChars="200"/>
        <w:rPr>
          <w:rFonts w:ascii="仿宋_GB2312" w:eastAsia="仿宋_GB2312"/>
          <w:color w:val="000000"/>
          <w:sz w:val="32"/>
          <w:szCs w:val="32"/>
        </w:rPr>
      </w:pPr>
      <w:bookmarkStart w:id="72"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1.35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3"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3"/>
      <w:r>
        <w:rPr>
          <w:rFonts w:hint="eastAsia" w:ascii="仿宋_GB2312" w:eastAsia="仿宋_GB2312" w:cs="仿宋_GB2312"/>
          <w:color w:val="000000"/>
          <w:sz w:val="32"/>
          <w:szCs w:val="32"/>
        </w:rPr>
        <w:t>，</w:t>
      </w:r>
      <w:bookmarkStart w:id="74" w:name="OLE_LINK40"/>
      <w:bookmarkStart w:id="75"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1.35</w:t>
      </w:r>
      <w:r>
        <w:rPr>
          <w:rFonts w:hint="eastAsia" w:ascii="仿宋_GB2312" w:eastAsia="仿宋_GB2312" w:cs="仿宋_GB2312"/>
          <w:color w:val="000000"/>
          <w:sz w:val="32"/>
          <w:szCs w:val="32"/>
        </w:rPr>
        <w:t>万元</w:t>
      </w:r>
      <w:bookmarkEnd w:id="74"/>
      <w:bookmarkEnd w:id="75"/>
      <w:r>
        <w:rPr>
          <w:rFonts w:hint="eastAsia" w:ascii="仿宋_GB2312" w:eastAsia="仿宋_GB2312" w:cs="仿宋_GB2312"/>
          <w:color w:val="000000"/>
          <w:sz w:val="32"/>
          <w:szCs w:val="32"/>
        </w:rPr>
        <w:t>。主要用于</w:t>
      </w:r>
      <w:r>
        <w:rPr>
          <w:rFonts w:hint="eastAsia" w:ascii="仿宋_GB2312" w:eastAsia="仿宋_GB2312" w:cs="仿宋_GB2312"/>
          <w:sz w:val="32"/>
          <w:szCs w:val="32"/>
        </w:rPr>
        <w:t>车辆维修和燃油费等</w:t>
      </w:r>
      <w:r>
        <w:rPr>
          <w:rFonts w:hint="eastAsia" w:ascii="仿宋_GB2312" w:eastAsia="仿宋_GB2312" w:cs="仿宋_GB2312"/>
          <w:color w:val="000000"/>
          <w:sz w:val="32"/>
          <w:szCs w:val="32"/>
        </w:rPr>
        <w:t>。</w:t>
      </w:r>
      <w:bookmarkEnd w:id="72"/>
      <w:bookmarkStart w:id="76"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1</w:t>
      </w:r>
      <w:r>
        <w:rPr>
          <w:rFonts w:hint="eastAsia" w:ascii="仿宋_GB2312" w:eastAsia="仿宋_GB2312" w:cs="仿宋_GB2312"/>
          <w:color w:val="000000"/>
          <w:sz w:val="32"/>
          <w:szCs w:val="32"/>
        </w:rPr>
        <w:t>辆。</w:t>
      </w:r>
      <w:bookmarkEnd w:id="76"/>
    </w:p>
    <w:p>
      <w:pPr>
        <w:spacing w:line="540" w:lineRule="exact"/>
        <w:ind w:firstLine="640" w:firstLineChars="200"/>
        <w:rPr>
          <w:rFonts w:ascii="仿宋_GB2312" w:eastAsia="仿宋_GB2312"/>
          <w:color w:val="000000"/>
          <w:sz w:val="32"/>
          <w:szCs w:val="32"/>
        </w:rPr>
      </w:pPr>
      <w:bookmarkStart w:id="77"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bookmarkEnd w:id="77"/>
      <w:bookmarkStart w:id="78" w:name="OLE_LINK84"/>
      <w:r>
        <w:rPr>
          <w:rFonts w:hint="eastAsia" w:ascii="仿宋_GB2312" w:eastAsia="仿宋_GB2312" w:cs="仿宋_GB2312"/>
          <w:sz w:val="32"/>
          <w:szCs w:val="32"/>
        </w:rPr>
        <w:t>我单位严把监督检查关，对接待费严格控制，减少一切不必要的公务接待开支</w:t>
      </w:r>
      <w:r>
        <w:rPr>
          <w:rFonts w:hint="eastAsia" w:ascii="仿宋_GB2312" w:eastAsia="仿宋_GB2312" w:cs="仿宋_GB2312"/>
          <w:color w:val="000000"/>
          <w:sz w:val="32"/>
          <w:szCs w:val="32"/>
        </w:rPr>
        <w:t>。</w:t>
      </w:r>
      <w:r>
        <w:rPr>
          <w:rFonts w:hint="eastAsia" w:ascii="仿宋_GB2312" w:eastAsia="仿宋_GB2312" w:cs="仿宋_GB2312"/>
          <w:sz w:val="32"/>
          <w:szCs w:val="32"/>
        </w:rPr>
        <w:t>新疆喀什地区叶城县园艺工作站</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8"/>
    </w:p>
    <w:p>
      <w:pPr>
        <w:spacing w:line="540" w:lineRule="exact"/>
        <w:ind w:firstLine="640" w:firstLineChars="200"/>
        <w:rPr>
          <w:rFonts w:ascii="仿宋_GB2312" w:hAnsi="宋体" w:eastAsia="仿宋_GB2312"/>
          <w:color w:val="000000"/>
          <w:kern w:val="0"/>
          <w:sz w:val="32"/>
          <w:szCs w:val="32"/>
        </w:rPr>
      </w:pPr>
      <w:bookmarkStart w:id="79"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1.5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w:t>
      </w:r>
      <w:r>
        <w:rPr>
          <w:rFonts w:hint="eastAsia" w:ascii="仿宋_GB2312" w:eastAsia="仿宋_GB2312" w:cs="仿宋_GB2312"/>
          <w:color w:val="000000"/>
          <w:sz w:val="32"/>
          <w:szCs w:val="32"/>
        </w:rPr>
        <w:t>，差异主要原因是执行中央八项规定，厉行节约。</w:t>
      </w:r>
      <w:bookmarkEnd w:id="79"/>
      <w:bookmarkStart w:id="80" w:name="OLE_LINK86"/>
      <w:bookmarkStart w:id="81" w:name="OLE_LINK87"/>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0"/>
      <w:bookmarkEnd w:id="81"/>
      <w:bookmarkStart w:id="82" w:name="OLE_LINK89"/>
      <w:bookmarkStart w:id="83" w:name="OLE_LINK88"/>
      <w:r>
        <w:rPr>
          <w:rFonts w:hint="eastAsia" w:ascii="仿宋_GB2312" w:eastAsia="仿宋_GB2312" w:cs="仿宋_GB2312"/>
          <w:sz w:val="32"/>
          <w:szCs w:val="32"/>
        </w:rPr>
        <w:t>我单位无考察、培训等安排</w:t>
      </w:r>
      <w:r>
        <w:rPr>
          <w:rFonts w:hint="eastAsia" w:ascii="仿宋_GB2312" w:eastAsia="仿宋_GB2312" w:cs="仿宋_GB2312"/>
          <w:color w:val="000000"/>
          <w:sz w:val="32"/>
          <w:szCs w:val="32"/>
        </w:rPr>
        <w:t>；</w:t>
      </w:r>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2"/>
      <w:bookmarkEnd w:id="83"/>
      <w:bookmarkStart w:id="84" w:name="OLE_LINK90"/>
      <w:r>
        <w:rPr>
          <w:rFonts w:hint="eastAsia" w:ascii="仿宋_GB2312" w:eastAsia="仿宋_GB2312" w:cs="仿宋_GB2312"/>
          <w:color w:val="000000"/>
          <w:sz w:val="32"/>
          <w:szCs w:val="32"/>
        </w:rPr>
        <w:t>无购买公务用车；</w:t>
      </w:r>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1.5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1.35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-10%</w:t>
      </w:r>
      <w:r>
        <w:rPr>
          <w:rFonts w:hint="eastAsia" w:ascii="仿宋_GB2312" w:eastAsia="仿宋_GB2312" w:cs="仿宋_GB2312"/>
          <w:color w:val="000000"/>
          <w:sz w:val="32"/>
          <w:szCs w:val="32"/>
        </w:rPr>
        <w:t>，差异主要原因是我单位严格遵守车辆管理制度，减少使用高耗油车辆，严禁公车私用；</w:t>
      </w:r>
      <w:bookmarkEnd w:id="84"/>
      <w:bookmarkStart w:id="85"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5"/>
      <w:r>
        <w:rPr>
          <w:rFonts w:hint="eastAsia" w:ascii="仿宋_GB2312" w:eastAsia="仿宋_GB2312" w:cs="仿宋_GB2312"/>
          <w:sz w:val="32"/>
          <w:szCs w:val="32"/>
        </w:rPr>
        <w:t>我单位严把监督检查关，对接待费严格控制，减少一切不必要的公务接待开支</w:t>
      </w:r>
      <w:r>
        <w:rPr>
          <w:rFonts w:hint="eastAsia" w:ascii="仿宋_GB2312" w:eastAsia="仿宋_GB2312" w:cs="仿宋_GB2312"/>
          <w:color w:val="000000"/>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新疆喀什地区叶城县园艺工作站日常公用经费</w:t>
      </w:r>
      <w:r>
        <w:rPr>
          <w:rFonts w:ascii="仿宋_GB2312" w:eastAsia="仿宋_GB2312" w:cs="仿宋_GB2312"/>
          <w:color w:val="000000"/>
          <w:sz w:val="32"/>
          <w:szCs w:val="32"/>
        </w:rPr>
        <w:t>4.68</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2.98</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38.9%</w:t>
      </w:r>
      <w:r>
        <w:rPr>
          <w:rFonts w:hint="eastAsia" w:ascii="仿宋_GB2312" w:eastAsia="仿宋_GB2312" w:cs="仿宋_GB2312"/>
          <w:color w:val="000000"/>
          <w:sz w:val="32"/>
          <w:szCs w:val="32"/>
        </w:rPr>
        <w:t>，减少的主要原因是：我单位认真贯彻落实中央和自治区厉行节约的各项规定，严格控制和降低行政运行成本，大力压缩经费支出规模</w:t>
      </w:r>
      <w:r>
        <w:rPr>
          <w:rFonts w:hint="eastAsia" w:ascii="仿宋_GB2312" w:eastAsia="仿宋_GB2312" w:cs="仿宋_GB2312"/>
          <w:sz w:val="32"/>
          <w:szCs w:val="32"/>
        </w:rPr>
        <w:t>。</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3,022.86</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3,022.86</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0"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4</w:t>
      </w:r>
      <w:r>
        <w:rPr>
          <w:rFonts w:hint="eastAsia" w:ascii="仿宋_GB2312" w:eastAsia="仿宋_GB2312" w:cs="仿宋_GB2312"/>
          <w:color w:val="000000"/>
          <w:sz w:val="32"/>
          <w:szCs w:val="32"/>
        </w:rPr>
        <w:t>辆，价值</w:t>
      </w:r>
      <w:r>
        <w:rPr>
          <w:rFonts w:ascii="仿宋_GB2312" w:eastAsia="仿宋_GB2312" w:cs="仿宋_GB2312"/>
          <w:sz w:val="32"/>
          <w:szCs w:val="32"/>
        </w:rPr>
        <w:t>24.32</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4</w:t>
      </w:r>
      <w:r>
        <w:rPr>
          <w:rFonts w:hint="eastAsia" w:ascii="仿宋_GB2312" w:eastAsia="仿宋_GB2312" w:cs="仿宋_GB2312"/>
          <w:color w:val="000000"/>
          <w:sz w:val="32"/>
          <w:szCs w:val="32"/>
        </w:rPr>
        <w:t>辆，其他用车主要是：4辆全部为育苗用车；单位价值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草原站</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1369.39</w:t>
      </w:r>
      <w:r>
        <w:rPr>
          <w:rFonts w:hint="eastAsia" w:ascii="仿宋_GB2312" w:eastAsia="仿宋_GB2312" w:cs="仿宋_GB2312"/>
          <w:sz w:val="32"/>
          <w:szCs w:val="32"/>
        </w:rPr>
        <w:t>万元，执行金额为</w:t>
      </w:r>
      <w:r>
        <w:rPr>
          <w:rFonts w:ascii="仿宋_GB2312" w:eastAsia="仿宋_GB2312" w:cs="仿宋_GB2312"/>
          <w:sz w:val="32"/>
          <w:szCs w:val="32"/>
        </w:rPr>
        <w:t>1369.39</w:t>
      </w:r>
      <w:r>
        <w:rPr>
          <w:rFonts w:hint="eastAsia" w:ascii="仿宋_GB2312" w:eastAsia="仿宋_GB2312" w:cs="仿宋_GB2312"/>
          <w:sz w:val="32"/>
          <w:szCs w:val="32"/>
        </w:rPr>
        <w:t>万元，预算执行率</w:t>
      </w:r>
      <w:r>
        <w:rPr>
          <w:rFonts w:ascii="仿宋_GB2312" w:eastAsia="仿宋_GB2312" w:cs="仿宋_GB2312"/>
          <w:sz w:val="32"/>
          <w:szCs w:val="32"/>
        </w:rPr>
        <w:t>100%</w:t>
      </w:r>
      <w:r>
        <w:rPr>
          <w:rFonts w:hint="eastAsia" w:ascii="仿宋_GB2312" w:eastAsia="仿宋_GB2312" w:cs="仿宋_GB2312"/>
          <w:sz w:val="32"/>
          <w:szCs w:val="32"/>
        </w:rPr>
        <w:t>。本次自评共涉及</w:t>
      </w:r>
      <w:r>
        <w:rPr>
          <w:rFonts w:ascii="仿宋_GB2312" w:eastAsia="仿宋_GB2312" w:cs="仿宋_GB2312"/>
          <w:sz w:val="32"/>
          <w:szCs w:val="32"/>
        </w:rPr>
        <w:t>2</w:t>
      </w:r>
      <w:r>
        <w:rPr>
          <w:rFonts w:hint="eastAsia" w:ascii="仿宋_GB2312" w:eastAsia="仿宋_GB2312" w:cs="仿宋_GB2312"/>
          <w:sz w:val="32"/>
          <w:szCs w:val="32"/>
        </w:rPr>
        <w:t>个项目，其中已完成项目</w:t>
      </w:r>
      <w:r>
        <w:rPr>
          <w:rFonts w:ascii="仿宋_GB2312" w:eastAsia="仿宋_GB2312" w:cs="仿宋_GB2312"/>
          <w:sz w:val="32"/>
          <w:szCs w:val="32"/>
        </w:rPr>
        <w:t>2</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，各项目支出管理过程较为规范，预算绩效目标完成情况良好。通过本次自评全面总结了项目实施过程中的经验及不足，为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adjustRightInd w:val="0"/>
        <w:snapToGrid w:val="0"/>
        <w:spacing w:line="560" w:lineRule="exact"/>
        <w:ind w:firstLine="640" w:firstLineChars="200"/>
        <w:rPr>
          <w:rFonts w:ascii="仿宋_GB2312" w:hAnsi="仿宋_GB2312" w:eastAsia="仿宋_GB2312" w:cs="仿宋_GB2312"/>
          <w:bCs/>
          <w:spacing w:val="-4"/>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、叶城县农业科普观光园经费项目绩效自评综述：</w:t>
      </w:r>
      <w:r>
        <w:rPr>
          <w:rFonts w:hint="eastAsia" w:ascii="仿宋_GB2312" w:hAnsi="仿宋_GB2312" w:eastAsia="仿宋_GB2312" w:cs="仿宋_GB2312"/>
          <w:spacing w:val="-4"/>
          <w:sz w:val="32"/>
          <w:szCs w:val="32"/>
        </w:rPr>
        <w:t>根据年初设定的绩效目标，此项目自评得分为92分。</w:t>
      </w: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17.21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17.21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pacing w:val="-4"/>
          <w:sz w:val="32"/>
          <w:szCs w:val="32"/>
        </w:rPr>
        <w:t>1.产出指标完成情况分析：（1）项目完成数量。</w:t>
      </w:r>
      <w:r>
        <w:rPr>
          <w:rFonts w:hint="eastAsia" w:ascii="仿宋_GB2312" w:hAnsi="仿宋_GB2312" w:eastAsia="仿宋_GB2312" w:cs="仿宋_GB2312"/>
          <w:bCs/>
          <w:sz w:val="32"/>
          <w:szCs w:val="32"/>
        </w:rPr>
        <w:t>数量指标:年接待游客34420人次,实际完成情况已完成，完成率100%。</w:t>
      </w:r>
      <w:r>
        <w:rPr>
          <w:rFonts w:hint="eastAsia" w:ascii="仿宋_GB2312" w:hAnsi="仿宋_GB2312" w:eastAsia="仿宋_GB2312" w:cs="仿宋_GB2312"/>
          <w:bCs/>
          <w:spacing w:val="-4"/>
          <w:sz w:val="32"/>
          <w:szCs w:val="32"/>
        </w:rPr>
        <w:t>（2）项目完成质量：</w:t>
      </w:r>
      <w:r>
        <w:rPr>
          <w:rFonts w:hint="eastAsia" w:ascii="仿宋_GB2312" w:hAnsi="仿宋_GB2312" w:eastAsia="仿宋_GB2312" w:cs="仿宋_GB2312"/>
          <w:spacing w:val="-4"/>
          <w:sz w:val="32"/>
          <w:szCs w:val="32"/>
        </w:rPr>
        <w:t>维持农业科普观光园正常运转，</w:t>
      </w:r>
      <w:r>
        <w:rPr>
          <w:rFonts w:hint="eastAsia" w:ascii="仿宋_GB2312" w:hAnsi="仿宋_GB2312" w:eastAsia="仿宋_GB2312" w:cs="仿宋_GB2312"/>
          <w:bCs/>
          <w:sz w:val="32"/>
          <w:szCs w:val="32"/>
        </w:rPr>
        <w:t>实际完成情况已完成，完成率100%。</w:t>
      </w:r>
      <w:r>
        <w:rPr>
          <w:rFonts w:hint="eastAsia" w:ascii="仿宋_GB2312" w:hAnsi="仿宋_GB2312" w:eastAsia="仿宋_GB2312" w:cs="仿宋_GB2312"/>
          <w:bCs/>
          <w:spacing w:val="-4"/>
          <w:sz w:val="32"/>
          <w:szCs w:val="32"/>
        </w:rPr>
        <w:t>（3）项目实施进度：</w:t>
      </w:r>
      <w:r>
        <w:rPr>
          <w:rFonts w:hint="eastAsia" w:ascii="仿宋_GB2312" w:hAnsi="仿宋_GB2312" w:eastAsia="仿宋_GB2312" w:cs="仿宋_GB2312"/>
          <w:spacing w:val="-4"/>
          <w:sz w:val="32"/>
          <w:szCs w:val="32"/>
        </w:rPr>
        <w:t>项目当年开工率100%，项目当年完工率100%等2个指标，实际完成2个指标，完成率100%。根据单位制定的实施方案，严格把控资金的支出进度，按照项目进行的序时进度完成项目实施，截至2018年年末，该项目已经完成。</w:t>
      </w:r>
      <w:r>
        <w:rPr>
          <w:rFonts w:hint="eastAsia" w:ascii="仿宋_GB2312" w:hAnsi="仿宋_GB2312" w:eastAsia="仿宋_GB2312" w:cs="仿宋_GB2312"/>
          <w:bCs/>
          <w:spacing w:val="-4"/>
          <w:sz w:val="32"/>
          <w:szCs w:val="32"/>
        </w:rPr>
        <w:t>（4）项目成本节约情况：接待游客人员收入成本5元/人。2.效益指标完成情况分析：（1）项目实施的经济效益分析：</w:t>
      </w:r>
      <w:r>
        <w:rPr>
          <w:rFonts w:hint="eastAsia" w:ascii="仿宋_GB2312" w:hAnsi="仿宋_GB2312" w:eastAsia="仿宋_GB2312" w:cs="仿宋_GB2312"/>
          <w:spacing w:val="-4"/>
          <w:sz w:val="32"/>
          <w:szCs w:val="32"/>
        </w:rPr>
        <w:t>通过观光园项目的实施，完成接待游客1.7万人次/年，门票5元/人，2017年-2018年6月门票收入17.21万元，</w:t>
      </w:r>
      <w:r>
        <w:rPr>
          <w:rFonts w:hint="eastAsia" w:ascii="仿宋_GB2312" w:hAnsi="仿宋_GB2312" w:eastAsia="仿宋_GB2312" w:cs="仿宋_GB2312"/>
          <w:bCs/>
          <w:spacing w:val="-4"/>
          <w:sz w:val="32"/>
          <w:szCs w:val="32"/>
        </w:rPr>
        <w:t>实际完成一个指标，实际完成率100%。</w:t>
      </w: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bCs/>
          <w:spacing w:val="-4"/>
          <w:sz w:val="32"/>
          <w:szCs w:val="32"/>
        </w:rPr>
        <w:t>2）项目实施的社会效益分析:</w:t>
      </w:r>
      <w:r>
        <w:rPr>
          <w:rFonts w:hint="eastAsia" w:ascii="仿宋_GB2312" w:hAnsi="仿宋_GB2312" w:eastAsia="仿宋_GB2312" w:cs="仿宋_GB2312"/>
          <w:spacing w:val="-4"/>
          <w:sz w:val="32"/>
          <w:szCs w:val="32"/>
        </w:rPr>
        <w:t>提供就业岗位5个，通过农业科普观光园项目的实施，教育群众远离非法活动。提供就业岗位5个（特委2个，工人3个）。</w:t>
      </w:r>
      <w:r>
        <w:rPr>
          <w:rFonts w:hint="eastAsia" w:ascii="仿宋_GB2312" w:hAnsi="仿宋_GB2312" w:eastAsia="仿宋_GB2312" w:cs="仿宋_GB2312"/>
          <w:bCs/>
          <w:spacing w:val="-4"/>
          <w:sz w:val="32"/>
          <w:szCs w:val="32"/>
        </w:rPr>
        <w:t>实际完成一个指标，实际完成率100%。（3）项目实施的生态效益分析：</w:t>
      </w:r>
      <w:r>
        <w:rPr>
          <w:rFonts w:hint="eastAsia" w:ascii="仿宋_GB2312" w:hAnsi="仿宋_GB2312" w:eastAsia="仿宋_GB2312" w:cs="仿宋_GB2312"/>
          <w:spacing w:val="-4"/>
          <w:sz w:val="32"/>
          <w:szCs w:val="32"/>
        </w:rPr>
        <w:t>无</w:t>
      </w:r>
      <w:r>
        <w:rPr>
          <w:rFonts w:hint="eastAsia" w:ascii="仿宋_GB2312" w:hAnsi="仿宋_GB2312" w:eastAsia="仿宋_GB2312" w:cs="仿宋_GB2312"/>
          <w:bCs/>
          <w:spacing w:val="-4"/>
          <w:sz w:val="32"/>
          <w:szCs w:val="32"/>
        </w:rPr>
        <w:t>。（4）项目实施的可持续影响分析：</w:t>
      </w:r>
      <w:r>
        <w:rPr>
          <w:rFonts w:hint="eastAsia" w:ascii="仿宋_GB2312" w:hAnsi="仿宋_GB2312" w:eastAsia="仿宋_GB2312" w:cs="仿宋_GB2312"/>
          <w:spacing w:val="-4"/>
          <w:sz w:val="32"/>
          <w:szCs w:val="32"/>
        </w:rPr>
        <w:t>叶城县农业科普观光园经费项目可以确特委全使用观光园设施期限达2年。</w:t>
      </w:r>
      <w:r>
        <w:rPr>
          <w:rFonts w:hint="eastAsia" w:ascii="仿宋_GB2312" w:hAnsi="仿宋_GB2312" w:eastAsia="仿宋_GB2312" w:cs="仿宋_GB2312"/>
          <w:bCs/>
          <w:spacing w:val="-4"/>
          <w:sz w:val="32"/>
          <w:szCs w:val="32"/>
        </w:rPr>
        <w:t>实际完成一个指标，实际完成率100%。3.满意度指标完成情况分析：</w:t>
      </w:r>
      <w:r>
        <w:rPr>
          <w:rFonts w:hint="eastAsia" w:ascii="仿宋_GB2312" w:hAnsi="仿宋_GB2312" w:eastAsia="仿宋_GB2312" w:cs="仿宋_GB2312"/>
          <w:spacing w:val="-4"/>
          <w:sz w:val="32"/>
          <w:szCs w:val="32"/>
        </w:rPr>
        <w:t>按计划完成项目实施，已做满意度调查问卷，各族群众满意率达96%，服务对象满意度指标完成。</w:t>
      </w:r>
      <w:r>
        <w:rPr>
          <w:rFonts w:hint="eastAsia" w:ascii="仿宋_GB2312" w:hAnsi="仿宋_GB2312" w:eastAsia="仿宋_GB2312" w:cs="仿宋_GB2312"/>
          <w:bCs/>
          <w:spacing w:val="-4"/>
          <w:sz w:val="32"/>
          <w:szCs w:val="32"/>
        </w:rPr>
        <w:t>实际完成一个指标，实际完成率100%。</w:t>
      </w:r>
      <w:r>
        <w:rPr>
          <w:rFonts w:hint="eastAsia" w:ascii="仿宋_GB2312" w:hAnsi="仿宋_GB2312" w:eastAsia="仿宋_GB2312" w:cs="仿宋_GB2312"/>
          <w:sz w:val="32"/>
          <w:szCs w:val="32"/>
        </w:rPr>
        <w:t>发现的问题及原因：不存在问题。下一步改进措施：无改进措施。</w:t>
      </w:r>
    </w:p>
    <w:p>
      <w:pPr>
        <w:adjustRightInd w:val="0"/>
        <w:snapToGrid w:val="0"/>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、叶城县拱棚项目绩效自评综述：根据年初设定的绩效目标，该项目绩效自评得分为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1,352.18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1,352.18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。主要产出和效果：1.产出指标完成情况分析。（1）项目完成数量。数量指标：新建拱棚 3656座，带动贫困户发展拱棚蔬菜产业2500户，实际完成情况已完成，完成率100%。（2）项目完成质量。项目竣工验收合格率100%，实际完成情况已完成，完成率100%。（3）项目实施进度。项目当年开工率100%，项目当年完工率100%，实际完成2个指标，完成率100%。（4）项目成本节约情况。建设每座拱棚成本3792元/座，实际完成1个指标，完成率100%。2.效益指标完成情况分析。（1）项目实施的经济效益分析。通过拱棚项目的实施每座棚增收1000元，实际完成1个指标，完成率100%。（2）项目实施的社会效益分析。通过拱棚项目的实施，对发展设施农业，产业结构调整，发展现代农业、拓展贫困户增收渠道等方面产生一定的社会效益。实际完成1个指标，完成率100%。（3）项目实施的生态效益分析。无。（4）项目实施的可持续影响分析。推广生产无公害蔬菜，确保蔬菜安全，维护生态环境，推进我县设施农业可持续发展8年。实际完成1个指标，完成率100%。3.满意度指标完成情况分析。按计划完成项目实施，已做满意度调查问卷，贫困户对项目实施的满意率达96%，服务对象满意度指标完成。发现的问题及原因：不存在问题。下一步改进措施：无改进措施。</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费反映单位公务</w:t>
      </w:r>
      <w:r>
        <w:rPr>
          <w:rFonts w:hint="eastAsia" w:ascii="仿宋_GB2312" w:eastAsia="仿宋_GB2312" w:cs="仿宋_GB2312"/>
          <w:color w:val="000000"/>
          <w:sz w:val="32"/>
          <w:szCs w:val="32"/>
          <w:lang w:eastAsia="zh-CN"/>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（项）指：生产发展。</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（项）指：其他农业支出。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- 9 -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32941"/>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B7FC6"/>
    <w:rsid w:val="000C1474"/>
    <w:rsid w:val="000C1803"/>
    <w:rsid w:val="000C3B12"/>
    <w:rsid w:val="000D21F9"/>
    <w:rsid w:val="000E0AB3"/>
    <w:rsid w:val="000E21E6"/>
    <w:rsid w:val="000E65F1"/>
    <w:rsid w:val="000E73E7"/>
    <w:rsid w:val="000E75AE"/>
    <w:rsid w:val="000F20BB"/>
    <w:rsid w:val="0010072E"/>
    <w:rsid w:val="00101D4F"/>
    <w:rsid w:val="0010481F"/>
    <w:rsid w:val="001128DE"/>
    <w:rsid w:val="00113241"/>
    <w:rsid w:val="0012066C"/>
    <w:rsid w:val="00123283"/>
    <w:rsid w:val="00124713"/>
    <w:rsid w:val="00124A31"/>
    <w:rsid w:val="00124B40"/>
    <w:rsid w:val="0012559F"/>
    <w:rsid w:val="00125CD2"/>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19D6"/>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253D"/>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2F7759"/>
    <w:rsid w:val="00300B06"/>
    <w:rsid w:val="0030440B"/>
    <w:rsid w:val="00305C33"/>
    <w:rsid w:val="00307208"/>
    <w:rsid w:val="00311036"/>
    <w:rsid w:val="003136FF"/>
    <w:rsid w:val="003167D1"/>
    <w:rsid w:val="00317644"/>
    <w:rsid w:val="00317B91"/>
    <w:rsid w:val="00320F9D"/>
    <w:rsid w:val="003217D2"/>
    <w:rsid w:val="003228EE"/>
    <w:rsid w:val="00324347"/>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3996"/>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3EC6"/>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60A7"/>
    <w:rsid w:val="004F77C5"/>
    <w:rsid w:val="00501302"/>
    <w:rsid w:val="00507F68"/>
    <w:rsid w:val="00523B8A"/>
    <w:rsid w:val="00532585"/>
    <w:rsid w:val="00533FA0"/>
    <w:rsid w:val="0054006F"/>
    <w:rsid w:val="00540C10"/>
    <w:rsid w:val="005464FA"/>
    <w:rsid w:val="00560650"/>
    <w:rsid w:val="00565F6C"/>
    <w:rsid w:val="00567FB5"/>
    <w:rsid w:val="0057380B"/>
    <w:rsid w:val="005770C3"/>
    <w:rsid w:val="00577753"/>
    <w:rsid w:val="00581AD2"/>
    <w:rsid w:val="005857A0"/>
    <w:rsid w:val="00592D42"/>
    <w:rsid w:val="005A1DB7"/>
    <w:rsid w:val="005A5B02"/>
    <w:rsid w:val="005B23D0"/>
    <w:rsid w:val="005B3245"/>
    <w:rsid w:val="005B6754"/>
    <w:rsid w:val="005B75C0"/>
    <w:rsid w:val="005C3143"/>
    <w:rsid w:val="005D311B"/>
    <w:rsid w:val="005D61D8"/>
    <w:rsid w:val="005E3B86"/>
    <w:rsid w:val="005E4E6B"/>
    <w:rsid w:val="005E6995"/>
    <w:rsid w:val="005E7C64"/>
    <w:rsid w:val="005F2A5A"/>
    <w:rsid w:val="005F2AEA"/>
    <w:rsid w:val="005F303E"/>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5AB5"/>
    <w:rsid w:val="00847DCE"/>
    <w:rsid w:val="0085023C"/>
    <w:rsid w:val="00852401"/>
    <w:rsid w:val="00853966"/>
    <w:rsid w:val="00857827"/>
    <w:rsid w:val="00866A6C"/>
    <w:rsid w:val="008969FE"/>
    <w:rsid w:val="008A237C"/>
    <w:rsid w:val="008A2D2C"/>
    <w:rsid w:val="008A3633"/>
    <w:rsid w:val="008B2514"/>
    <w:rsid w:val="008B3AE0"/>
    <w:rsid w:val="008B4607"/>
    <w:rsid w:val="008C030F"/>
    <w:rsid w:val="008C3836"/>
    <w:rsid w:val="008E28BD"/>
    <w:rsid w:val="008E4EAC"/>
    <w:rsid w:val="008E5D6E"/>
    <w:rsid w:val="008F0F07"/>
    <w:rsid w:val="008F73E1"/>
    <w:rsid w:val="00910E73"/>
    <w:rsid w:val="009110DE"/>
    <w:rsid w:val="00913B22"/>
    <w:rsid w:val="00914BA4"/>
    <w:rsid w:val="00920C0A"/>
    <w:rsid w:val="00920E2A"/>
    <w:rsid w:val="00920FB6"/>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6548A"/>
    <w:rsid w:val="00970AB3"/>
    <w:rsid w:val="00982C13"/>
    <w:rsid w:val="00985DF4"/>
    <w:rsid w:val="00987E45"/>
    <w:rsid w:val="0099241E"/>
    <w:rsid w:val="009942F3"/>
    <w:rsid w:val="00994950"/>
    <w:rsid w:val="00995804"/>
    <w:rsid w:val="0099652B"/>
    <w:rsid w:val="009A0831"/>
    <w:rsid w:val="009A44FB"/>
    <w:rsid w:val="009A5CDE"/>
    <w:rsid w:val="009B3F92"/>
    <w:rsid w:val="009C3CE9"/>
    <w:rsid w:val="009C6A82"/>
    <w:rsid w:val="009D15D2"/>
    <w:rsid w:val="009D35E6"/>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43B4"/>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44A0E"/>
    <w:rsid w:val="00B50AD6"/>
    <w:rsid w:val="00B51AB3"/>
    <w:rsid w:val="00B5337C"/>
    <w:rsid w:val="00B5340F"/>
    <w:rsid w:val="00B611F7"/>
    <w:rsid w:val="00B6765D"/>
    <w:rsid w:val="00B67ACE"/>
    <w:rsid w:val="00B717C5"/>
    <w:rsid w:val="00B75463"/>
    <w:rsid w:val="00B90F21"/>
    <w:rsid w:val="00B93445"/>
    <w:rsid w:val="00B94F7E"/>
    <w:rsid w:val="00B95F83"/>
    <w:rsid w:val="00B965C5"/>
    <w:rsid w:val="00B96E34"/>
    <w:rsid w:val="00B9729A"/>
    <w:rsid w:val="00BB0177"/>
    <w:rsid w:val="00BB3A31"/>
    <w:rsid w:val="00BB3E20"/>
    <w:rsid w:val="00BC2D65"/>
    <w:rsid w:val="00BD1F2C"/>
    <w:rsid w:val="00BD2BBE"/>
    <w:rsid w:val="00BD7EF8"/>
    <w:rsid w:val="00BE0FEE"/>
    <w:rsid w:val="00BE4817"/>
    <w:rsid w:val="00BE721C"/>
    <w:rsid w:val="00BF0DC7"/>
    <w:rsid w:val="00BF1F54"/>
    <w:rsid w:val="00C04782"/>
    <w:rsid w:val="00C04F2D"/>
    <w:rsid w:val="00C17B38"/>
    <w:rsid w:val="00C238F0"/>
    <w:rsid w:val="00C25CC6"/>
    <w:rsid w:val="00C31297"/>
    <w:rsid w:val="00C61A9B"/>
    <w:rsid w:val="00C61D93"/>
    <w:rsid w:val="00C732F1"/>
    <w:rsid w:val="00C8565C"/>
    <w:rsid w:val="00C92227"/>
    <w:rsid w:val="00CB0287"/>
    <w:rsid w:val="00CB11AE"/>
    <w:rsid w:val="00CB2CF7"/>
    <w:rsid w:val="00CC08E3"/>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B71CD"/>
    <w:rsid w:val="00EC5A7D"/>
    <w:rsid w:val="00EC5C83"/>
    <w:rsid w:val="00EC7099"/>
    <w:rsid w:val="00ED5E90"/>
    <w:rsid w:val="00ED60E2"/>
    <w:rsid w:val="00EE0A13"/>
    <w:rsid w:val="00EE2897"/>
    <w:rsid w:val="00EE5DA1"/>
    <w:rsid w:val="00EF31D5"/>
    <w:rsid w:val="00EF7FDA"/>
    <w:rsid w:val="00F01612"/>
    <w:rsid w:val="00F04B17"/>
    <w:rsid w:val="00F113F4"/>
    <w:rsid w:val="00F13479"/>
    <w:rsid w:val="00F14CE8"/>
    <w:rsid w:val="00F1625A"/>
    <w:rsid w:val="00F17C93"/>
    <w:rsid w:val="00F50BA2"/>
    <w:rsid w:val="00F5664D"/>
    <w:rsid w:val="00F6771B"/>
    <w:rsid w:val="00F703C3"/>
    <w:rsid w:val="00F732C7"/>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3FF1AF6"/>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0A628E"/>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BC4EB7"/>
    <w:rsid w:val="4CFC7DB2"/>
    <w:rsid w:val="4E7101D9"/>
    <w:rsid w:val="4E7C187D"/>
    <w:rsid w:val="508941AD"/>
    <w:rsid w:val="50E65530"/>
    <w:rsid w:val="51457139"/>
    <w:rsid w:val="51574DBD"/>
    <w:rsid w:val="51EC1DA8"/>
    <w:rsid w:val="52FC5524"/>
    <w:rsid w:val="532D7A17"/>
    <w:rsid w:val="54AF4562"/>
    <w:rsid w:val="54C9674B"/>
    <w:rsid w:val="556318EA"/>
    <w:rsid w:val="55A60AA1"/>
    <w:rsid w:val="56451615"/>
    <w:rsid w:val="56672867"/>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4CB310E"/>
    <w:rsid w:val="65C613BD"/>
    <w:rsid w:val="65FD118C"/>
    <w:rsid w:val="682C3D89"/>
    <w:rsid w:val="68611305"/>
    <w:rsid w:val="6A162DE0"/>
    <w:rsid w:val="6A331428"/>
    <w:rsid w:val="6B2E5CB6"/>
    <w:rsid w:val="6B3D4886"/>
    <w:rsid w:val="6DF8675E"/>
    <w:rsid w:val="6EA80098"/>
    <w:rsid w:val="6F8C1C16"/>
    <w:rsid w:val="6F8D70FF"/>
    <w:rsid w:val="6FFE5011"/>
    <w:rsid w:val="7178734D"/>
    <w:rsid w:val="71791096"/>
    <w:rsid w:val="717B0C34"/>
    <w:rsid w:val="71FB78FD"/>
    <w:rsid w:val="7275064A"/>
    <w:rsid w:val="733F750B"/>
    <w:rsid w:val="735702E2"/>
    <w:rsid w:val="765F635A"/>
    <w:rsid w:val="76B73454"/>
    <w:rsid w:val="76D254BD"/>
    <w:rsid w:val="77727ACD"/>
    <w:rsid w:val="78071142"/>
    <w:rsid w:val="78654948"/>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rPr>
      <w:rFonts w:cs="Times New Roman"/>
    </w:rPr>
  </w:style>
  <w:style w:type="character" w:styleId="10">
    <w:name w:val="annotation reference"/>
    <w:basedOn w:val="8"/>
    <w:semiHidden/>
    <w:uiPriority w:val="99"/>
    <w:rPr>
      <w:rFonts w:cs="Times New Roman"/>
      <w:sz w:val="21"/>
      <w:szCs w:val="21"/>
    </w:rPr>
  </w:style>
  <w:style w:type="character" w:customStyle="1" w:styleId="11">
    <w:name w:val="批注文字 Char"/>
    <w:basedOn w:val="8"/>
    <w:link w:val="2"/>
    <w:semiHidden/>
    <w:locked/>
    <w:uiPriority w:val="99"/>
    <w:rPr>
      <w:rFonts w:ascii="Times New Roman" w:hAnsi="Times New Roman" w:eastAsia="宋体" w:cs="Times New Roman"/>
      <w:sz w:val="24"/>
      <w:szCs w:val="24"/>
    </w:rPr>
  </w:style>
  <w:style w:type="character" w:customStyle="1" w:styleId="12">
    <w:name w:val="批注框文本 Char"/>
    <w:basedOn w:val="8"/>
    <w:link w:val="3"/>
    <w:semiHidden/>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15</Pages>
  <Words>1086</Words>
  <Characters>6195</Characters>
  <Lines>51</Lines>
  <Paragraphs>14</Paragraphs>
  <TotalTime>0</TotalTime>
  <ScaleCrop>false</ScaleCrop>
  <LinksUpToDate>false</LinksUpToDate>
  <CharactersWithSpaces>7267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2025-02-13T09:23:31Z</dcterms:modified>
  <cp:revision>819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