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2016年喀什地区叶城县种子管理站部门决算说明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 xml:space="preserve">  </w:t>
      </w:r>
    </w:p>
    <w:p>
      <w:pPr>
        <w:spacing w:line="560" w:lineRule="exact"/>
        <w:ind w:firstLine="643" w:firstLineChars="200"/>
        <w:jc w:val="center"/>
        <w:rPr>
          <w:rFonts w:ascii="仿宋_GB2312" w:hAnsi="宋体" w:eastAsia="仿宋_GB2312"/>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单位性质为参照公务员法管理事业单位，全额拨款，执行会计制度为事业会计制度。独立编制机构1个，独立编制机构与上年无变动。</w:t>
      </w:r>
    </w:p>
    <w:p>
      <w:pPr>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一、主要职能：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叶城县种子管理站隶属县农业局，属参照公务员管理事业单位，具有独立的法人资格，核定全额拨款事业编制9名。叶城县种子管理站主要职能包括：为了促进农业生产更好的发展我站主要职能是以农作物新品种区域试验示范、农作物种子质量监督管理全县范围的种子监督体系为指导。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9人，按照编委文件填报，实际实有在职人数9人，属于一般公共预算财政拨款开支9人，2015年退休19人，2016年无退休人员，比2015年减少19人，原因：实施机关事业单位养老保险改革退休人员纳入社保局统一管理。</w:t>
      </w:r>
    </w:p>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纳入叶城县种子管理站2016年部门决算编制范围的单位名单见下表：</w:t>
      </w:r>
    </w:p>
    <w:tbl>
      <w:tblPr>
        <w:tblStyle w:val="7"/>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376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76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叶城县种子管理站</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根据职责，纳入2016年部门预算编制范围的有3个内设机构。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1、办公室：负责考勤后勤保障工作，协调安排好办公室人员的工作，做好上级来人检查指导工作的接待，严格按县上规定制定接待方案和标准。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2、业务股：负责乡镇及县内各种子销售点检查，对各乡镇示范点、基地建设要全面掌控情况，包括生产种植前的技术指导。</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3、生产股;各类农作物种子的检验，负责种子试验示范区域试验。生产试验示范提纯复壮工作并对全县范围内的种子经营户进行种子检验等工作。并对其宣传宣讲农业政策及《中华人民共和国种子法》。</w:t>
      </w:r>
    </w:p>
    <w:p>
      <w:pPr>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第二部分   叶城县种子管理站2016年度部门决算报表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第三部分  叶城县种子管理站2016年度部门决算情况说明</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2016年全年收入合计2064229.19元，支出合计2064229.19元，其中基本支出1814229.19元，项目支出250000元。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2016年本年收入合计2064229.19元，其中：财政拨款收入2064229.19元，无事业收入，无经营收入，无其他收入。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本年支出合计2064229.19元，其中：基本支出1814229.19元，项目支出250000元，无经营支出。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2016年“三公”经费实际支出16000元，其中：因公出国费用0批次，共组团0批次0人次,无出国事由；公务接待费1000元，共接待1批次4人次；无公务用车购置，年末公务用车保有量为2辆；公务用车维护费15000元。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少支出1000元，其中：因公出国费用多（少）支0元；公务接待费少支出1000元；公务用车购置费多（少）支出0元；公务用车维护费多（少）支出0元。主要原因为：严格执行自治区廉洁自律十项规定，节约公务开支。</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2016年会议费0元，主要是： 本单位无会议费。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2016年培训费15000元，主要是：技术服务培训。</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2016年本年收入2064229.19元，比2015年减少 321875.58元，减少原因：人员等各项经费支出减少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2016年财政拨款支出2064229.19元，年初预算数1819848.42元，差异原因：项目年初未按排预算。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2016年叶城县种子管理站机关运行经费支出29000元，比2015年减少3500元，降低10.76% ，主要原因是：严格执行</w:t>
      </w:r>
      <w:r>
        <w:rPr>
          <w:rFonts w:hint="eastAsia" w:ascii="仿宋_GB2312" w:hAnsi="宋体" w:eastAsia="仿宋_GB2312"/>
          <w:sz w:val="32"/>
          <w:szCs w:val="32"/>
          <w:lang w:eastAsia="zh-CN"/>
        </w:rPr>
        <w:t>中央</w:t>
      </w:r>
      <w:bookmarkStart w:id="1" w:name="_GoBack"/>
      <w:bookmarkEnd w:id="1"/>
      <w:r>
        <w:rPr>
          <w:rFonts w:hint="eastAsia" w:ascii="仿宋_GB2312" w:hAnsi="宋体" w:eastAsia="仿宋_GB2312"/>
          <w:sz w:val="32"/>
          <w:szCs w:val="32"/>
          <w:lang w:eastAsia="zh-CN"/>
        </w:rPr>
        <w:t>八项规定</w:t>
      </w:r>
      <w:r>
        <w:rPr>
          <w:rFonts w:hint="eastAsia" w:ascii="仿宋_GB2312" w:hAnsi="宋体" w:eastAsia="仿宋_GB2312"/>
          <w:sz w:val="32"/>
          <w:szCs w:val="32"/>
        </w:rPr>
        <w:t>厉行节约。</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2016年，叶城县种子管理站政府采购支出总额0元，其中政府采购货物支出0元，政府采购工程支出0元，政府采购服务支出0元。喀什地区为偏远地区，参与招投标的供应商基本为中小微企业。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截止2016年12月31日，本单位共有车辆2辆，其中一般公务用车1辆，一般用车0辆，专业用车0辆，其他车辆1辆，</w:t>
      </w:r>
      <w:r>
        <w:rPr>
          <w:rFonts w:hint="eastAsia" w:ascii="仿宋_GB2312" w:hAnsi="宋体" w:eastAsia="仿宋_GB2312" w:cs="宋体"/>
          <w:sz w:val="32"/>
          <w:szCs w:val="32"/>
        </w:rPr>
        <w:t>其他用车主要是：收购种子专用皮卡车。</w:t>
      </w:r>
      <w:r>
        <w:rPr>
          <w:rFonts w:hint="eastAsia" w:ascii="仿宋_GB2312" w:hAnsi="宋体" w:eastAsia="仿宋_GB2312"/>
          <w:sz w:val="32"/>
          <w:szCs w:val="32"/>
        </w:rPr>
        <w:t>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种子管理站共组织对2个项目进行了预算绩效评价，涉及一般公共预算当年财政拨款250000元.种子管理站种子实验室的建造及设备更新，解决了多年来做种子发芽试验设备老旧、致使发芽试验质量不过关等问题，通过设备更新使种子试验工作有了进一步更新和改进。满足了现代农业品种试验质量不断提高和供种安全的需要。三甫田试验的成功推广，将我县农业调整和农牧民群众种植小麦增加收入具有促进作用，社会、经济效益非常明显。高产优质小麦主栽品种，进一步扭转了当前小麦多、乱、杂的局面。（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按收入项目分别列示：本单位是参照公务员法管理事业单位，无事业收入和经营收入。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72AB"/>
    <w:rsid w:val="00012D74"/>
    <w:rsid w:val="00024B7F"/>
    <w:rsid w:val="00034248"/>
    <w:rsid w:val="00052FE0"/>
    <w:rsid w:val="00053E8E"/>
    <w:rsid w:val="00054384"/>
    <w:rsid w:val="0006062F"/>
    <w:rsid w:val="00062AC7"/>
    <w:rsid w:val="000703F5"/>
    <w:rsid w:val="00086A97"/>
    <w:rsid w:val="00094D69"/>
    <w:rsid w:val="000A056F"/>
    <w:rsid w:val="000A5461"/>
    <w:rsid w:val="000A65DB"/>
    <w:rsid w:val="000C3B20"/>
    <w:rsid w:val="000E07BB"/>
    <w:rsid w:val="000E1E8D"/>
    <w:rsid w:val="000E7FFD"/>
    <w:rsid w:val="001250CE"/>
    <w:rsid w:val="00140E78"/>
    <w:rsid w:val="00142BCE"/>
    <w:rsid w:val="00143F98"/>
    <w:rsid w:val="00147040"/>
    <w:rsid w:val="00151463"/>
    <w:rsid w:val="00170582"/>
    <w:rsid w:val="0018240F"/>
    <w:rsid w:val="00183136"/>
    <w:rsid w:val="001870FE"/>
    <w:rsid w:val="001943AB"/>
    <w:rsid w:val="001A6F10"/>
    <w:rsid w:val="001B3C4A"/>
    <w:rsid w:val="001C55BD"/>
    <w:rsid w:val="001D09C9"/>
    <w:rsid w:val="001D409E"/>
    <w:rsid w:val="001D6193"/>
    <w:rsid w:val="001E4658"/>
    <w:rsid w:val="00201438"/>
    <w:rsid w:val="0020220E"/>
    <w:rsid w:val="00205C3B"/>
    <w:rsid w:val="002114D1"/>
    <w:rsid w:val="002165D8"/>
    <w:rsid w:val="00240359"/>
    <w:rsid w:val="00242FE4"/>
    <w:rsid w:val="00253FBB"/>
    <w:rsid w:val="00257208"/>
    <w:rsid w:val="002607F5"/>
    <w:rsid w:val="00262C89"/>
    <w:rsid w:val="00265B72"/>
    <w:rsid w:val="002743C3"/>
    <w:rsid w:val="002835A2"/>
    <w:rsid w:val="00283B98"/>
    <w:rsid w:val="00287A2E"/>
    <w:rsid w:val="002C37F3"/>
    <w:rsid w:val="002C677C"/>
    <w:rsid w:val="002C740B"/>
    <w:rsid w:val="002D3E53"/>
    <w:rsid w:val="002D5527"/>
    <w:rsid w:val="002E6F3B"/>
    <w:rsid w:val="00303B2E"/>
    <w:rsid w:val="003158E9"/>
    <w:rsid w:val="00316064"/>
    <w:rsid w:val="0031707E"/>
    <w:rsid w:val="00333969"/>
    <w:rsid w:val="00333F9D"/>
    <w:rsid w:val="00340174"/>
    <w:rsid w:val="003472C5"/>
    <w:rsid w:val="00357AC2"/>
    <w:rsid w:val="00365EF9"/>
    <w:rsid w:val="0037008E"/>
    <w:rsid w:val="00374619"/>
    <w:rsid w:val="00392F8A"/>
    <w:rsid w:val="003B0831"/>
    <w:rsid w:val="003B594E"/>
    <w:rsid w:val="003C2E54"/>
    <w:rsid w:val="003C6591"/>
    <w:rsid w:val="003D0C72"/>
    <w:rsid w:val="003D39BA"/>
    <w:rsid w:val="00406AB0"/>
    <w:rsid w:val="00417715"/>
    <w:rsid w:val="0043072D"/>
    <w:rsid w:val="0043342B"/>
    <w:rsid w:val="00434EEE"/>
    <w:rsid w:val="0045212A"/>
    <w:rsid w:val="004743B3"/>
    <w:rsid w:val="00486188"/>
    <w:rsid w:val="00487059"/>
    <w:rsid w:val="00492A49"/>
    <w:rsid w:val="004A28B1"/>
    <w:rsid w:val="004A5A41"/>
    <w:rsid w:val="004D2787"/>
    <w:rsid w:val="004D48D7"/>
    <w:rsid w:val="004D6F93"/>
    <w:rsid w:val="004F33C5"/>
    <w:rsid w:val="0050291C"/>
    <w:rsid w:val="005272D8"/>
    <w:rsid w:val="00532879"/>
    <w:rsid w:val="0053680D"/>
    <w:rsid w:val="00544218"/>
    <w:rsid w:val="005445F3"/>
    <w:rsid w:val="00547CA3"/>
    <w:rsid w:val="00552B99"/>
    <w:rsid w:val="00565025"/>
    <w:rsid w:val="00590017"/>
    <w:rsid w:val="00590027"/>
    <w:rsid w:val="00592401"/>
    <w:rsid w:val="005B3712"/>
    <w:rsid w:val="005B66A2"/>
    <w:rsid w:val="005C24CE"/>
    <w:rsid w:val="005D008D"/>
    <w:rsid w:val="005D4CB2"/>
    <w:rsid w:val="005D5345"/>
    <w:rsid w:val="005D5F98"/>
    <w:rsid w:val="005D6922"/>
    <w:rsid w:val="005E4828"/>
    <w:rsid w:val="005E5284"/>
    <w:rsid w:val="005F1A63"/>
    <w:rsid w:val="005F70AA"/>
    <w:rsid w:val="0061786C"/>
    <w:rsid w:val="0063024C"/>
    <w:rsid w:val="00642F1B"/>
    <w:rsid w:val="006537AC"/>
    <w:rsid w:val="00656A98"/>
    <w:rsid w:val="0066260D"/>
    <w:rsid w:val="00671F83"/>
    <w:rsid w:val="00672B4C"/>
    <w:rsid w:val="006773BD"/>
    <w:rsid w:val="00684D17"/>
    <w:rsid w:val="006878B4"/>
    <w:rsid w:val="00696752"/>
    <w:rsid w:val="00697824"/>
    <w:rsid w:val="006A1621"/>
    <w:rsid w:val="006A2219"/>
    <w:rsid w:val="006A56FC"/>
    <w:rsid w:val="006A7356"/>
    <w:rsid w:val="006C7E84"/>
    <w:rsid w:val="006D4B96"/>
    <w:rsid w:val="006E5576"/>
    <w:rsid w:val="006F1159"/>
    <w:rsid w:val="006F13E9"/>
    <w:rsid w:val="006F3090"/>
    <w:rsid w:val="006F3AD3"/>
    <w:rsid w:val="006F4B6E"/>
    <w:rsid w:val="006F7FA8"/>
    <w:rsid w:val="0070486D"/>
    <w:rsid w:val="00707EE0"/>
    <w:rsid w:val="007226FB"/>
    <w:rsid w:val="00731332"/>
    <w:rsid w:val="00772339"/>
    <w:rsid w:val="007747C2"/>
    <w:rsid w:val="007819CF"/>
    <w:rsid w:val="00782159"/>
    <w:rsid w:val="00793D15"/>
    <w:rsid w:val="007978CD"/>
    <w:rsid w:val="007A2BDC"/>
    <w:rsid w:val="007C0DE1"/>
    <w:rsid w:val="007D7314"/>
    <w:rsid w:val="00805899"/>
    <w:rsid w:val="00807CB8"/>
    <w:rsid w:val="008104D1"/>
    <w:rsid w:val="00815033"/>
    <w:rsid w:val="00823C5A"/>
    <w:rsid w:val="008321EE"/>
    <w:rsid w:val="0083537D"/>
    <w:rsid w:val="00842279"/>
    <w:rsid w:val="00847706"/>
    <w:rsid w:val="00854186"/>
    <w:rsid w:val="00854835"/>
    <w:rsid w:val="00861029"/>
    <w:rsid w:val="00863043"/>
    <w:rsid w:val="008640A7"/>
    <w:rsid w:val="008664F8"/>
    <w:rsid w:val="00877032"/>
    <w:rsid w:val="00880D0D"/>
    <w:rsid w:val="008872A2"/>
    <w:rsid w:val="00893317"/>
    <w:rsid w:val="00895A64"/>
    <w:rsid w:val="00895BE7"/>
    <w:rsid w:val="008B02AA"/>
    <w:rsid w:val="008C3A66"/>
    <w:rsid w:val="008C5ABD"/>
    <w:rsid w:val="008D28A9"/>
    <w:rsid w:val="008E26A2"/>
    <w:rsid w:val="008F46A7"/>
    <w:rsid w:val="0090620E"/>
    <w:rsid w:val="009078E5"/>
    <w:rsid w:val="00910498"/>
    <w:rsid w:val="00921F8C"/>
    <w:rsid w:val="00954B4B"/>
    <w:rsid w:val="00986E5F"/>
    <w:rsid w:val="009A7D21"/>
    <w:rsid w:val="009B4AF6"/>
    <w:rsid w:val="009C453B"/>
    <w:rsid w:val="009C7F6B"/>
    <w:rsid w:val="009D1B17"/>
    <w:rsid w:val="009D2AE5"/>
    <w:rsid w:val="009E1A91"/>
    <w:rsid w:val="009F1B75"/>
    <w:rsid w:val="009F39C7"/>
    <w:rsid w:val="009F6D25"/>
    <w:rsid w:val="00A20870"/>
    <w:rsid w:val="00A2792B"/>
    <w:rsid w:val="00A30E12"/>
    <w:rsid w:val="00A32422"/>
    <w:rsid w:val="00A3418E"/>
    <w:rsid w:val="00A407D1"/>
    <w:rsid w:val="00A44317"/>
    <w:rsid w:val="00A536B6"/>
    <w:rsid w:val="00A60E3C"/>
    <w:rsid w:val="00A63C42"/>
    <w:rsid w:val="00AA1759"/>
    <w:rsid w:val="00AA3003"/>
    <w:rsid w:val="00AB21A3"/>
    <w:rsid w:val="00AB7D14"/>
    <w:rsid w:val="00AC139B"/>
    <w:rsid w:val="00AD7784"/>
    <w:rsid w:val="00AF5022"/>
    <w:rsid w:val="00B05194"/>
    <w:rsid w:val="00B24563"/>
    <w:rsid w:val="00B4468E"/>
    <w:rsid w:val="00B607AE"/>
    <w:rsid w:val="00B635BA"/>
    <w:rsid w:val="00B839F5"/>
    <w:rsid w:val="00B907A7"/>
    <w:rsid w:val="00B919A9"/>
    <w:rsid w:val="00BA249C"/>
    <w:rsid w:val="00BB2497"/>
    <w:rsid w:val="00BB372B"/>
    <w:rsid w:val="00BB7B3E"/>
    <w:rsid w:val="00BC5063"/>
    <w:rsid w:val="00BC6684"/>
    <w:rsid w:val="00BD4413"/>
    <w:rsid w:val="00BF32D3"/>
    <w:rsid w:val="00C11A83"/>
    <w:rsid w:val="00C15174"/>
    <w:rsid w:val="00C3223E"/>
    <w:rsid w:val="00C337C1"/>
    <w:rsid w:val="00C3662B"/>
    <w:rsid w:val="00C4155A"/>
    <w:rsid w:val="00C429FD"/>
    <w:rsid w:val="00C45F21"/>
    <w:rsid w:val="00C605BD"/>
    <w:rsid w:val="00C61DC5"/>
    <w:rsid w:val="00C62423"/>
    <w:rsid w:val="00C86FB1"/>
    <w:rsid w:val="00C955CC"/>
    <w:rsid w:val="00C97E32"/>
    <w:rsid w:val="00CA0E2D"/>
    <w:rsid w:val="00CB3117"/>
    <w:rsid w:val="00CE1862"/>
    <w:rsid w:val="00CE37ED"/>
    <w:rsid w:val="00D4613F"/>
    <w:rsid w:val="00D51AD5"/>
    <w:rsid w:val="00D51E0D"/>
    <w:rsid w:val="00D5318C"/>
    <w:rsid w:val="00D554FC"/>
    <w:rsid w:val="00D60A9C"/>
    <w:rsid w:val="00D81BC9"/>
    <w:rsid w:val="00D81E3D"/>
    <w:rsid w:val="00DA057C"/>
    <w:rsid w:val="00DA16BE"/>
    <w:rsid w:val="00DA7C3C"/>
    <w:rsid w:val="00DB13AB"/>
    <w:rsid w:val="00DB2FC5"/>
    <w:rsid w:val="00DE344D"/>
    <w:rsid w:val="00E02CF8"/>
    <w:rsid w:val="00E21545"/>
    <w:rsid w:val="00E318E1"/>
    <w:rsid w:val="00E31C3F"/>
    <w:rsid w:val="00E339F2"/>
    <w:rsid w:val="00E43C77"/>
    <w:rsid w:val="00E47240"/>
    <w:rsid w:val="00E553F5"/>
    <w:rsid w:val="00E578A5"/>
    <w:rsid w:val="00E774D0"/>
    <w:rsid w:val="00E834BA"/>
    <w:rsid w:val="00E8388E"/>
    <w:rsid w:val="00E95A7B"/>
    <w:rsid w:val="00EA2495"/>
    <w:rsid w:val="00EA5F52"/>
    <w:rsid w:val="00EB29E7"/>
    <w:rsid w:val="00EC1F82"/>
    <w:rsid w:val="00EC282F"/>
    <w:rsid w:val="00ED7C8E"/>
    <w:rsid w:val="00EE2E07"/>
    <w:rsid w:val="00EE66B1"/>
    <w:rsid w:val="00EF3B2C"/>
    <w:rsid w:val="00EF7B17"/>
    <w:rsid w:val="00F010BD"/>
    <w:rsid w:val="00F0364D"/>
    <w:rsid w:val="00F04405"/>
    <w:rsid w:val="00F06CB4"/>
    <w:rsid w:val="00F13A68"/>
    <w:rsid w:val="00F16C5D"/>
    <w:rsid w:val="00F277DB"/>
    <w:rsid w:val="00F453E0"/>
    <w:rsid w:val="00F71A7A"/>
    <w:rsid w:val="00F81C9E"/>
    <w:rsid w:val="00F820FC"/>
    <w:rsid w:val="00F83DB6"/>
    <w:rsid w:val="00F85CE3"/>
    <w:rsid w:val="00F9235B"/>
    <w:rsid w:val="00FA08FE"/>
    <w:rsid w:val="00FA2C9B"/>
    <w:rsid w:val="00FF5D03"/>
    <w:rsid w:val="040220E9"/>
    <w:rsid w:val="061903A1"/>
    <w:rsid w:val="0A1151C5"/>
    <w:rsid w:val="0D9E33A3"/>
    <w:rsid w:val="0F7B07B6"/>
    <w:rsid w:val="11CF3208"/>
    <w:rsid w:val="160A06D7"/>
    <w:rsid w:val="1E0E74CB"/>
    <w:rsid w:val="21D57BD6"/>
    <w:rsid w:val="281B3493"/>
    <w:rsid w:val="2B5D1C2C"/>
    <w:rsid w:val="33446966"/>
    <w:rsid w:val="3E871675"/>
    <w:rsid w:val="42876676"/>
    <w:rsid w:val="43EE71EF"/>
    <w:rsid w:val="451427BB"/>
    <w:rsid w:val="531624B1"/>
    <w:rsid w:val="5819655E"/>
    <w:rsid w:val="58A723EB"/>
    <w:rsid w:val="59B73681"/>
    <w:rsid w:val="5C1C5845"/>
    <w:rsid w:val="619032DA"/>
    <w:rsid w:val="65F55C80"/>
    <w:rsid w:val="702F6E8C"/>
    <w:rsid w:val="7461543F"/>
    <w:rsid w:val="785E604F"/>
    <w:rsid w:val="78D95B5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240"/>
      <w:jc w:val="left"/>
    </w:pPr>
    <w:rPr>
      <w:rFonts w:ascii="宋体" w:hAnsi="宋体" w:cs="宋体"/>
      <w:kern w:val="0"/>
      <w:sz w:val="24"/>
    </w:r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4"/>
      <w:szCs w:val="24"/>
    </w:rPr>
  </w:style>
  <w:style w:type="character" w:customStyle="1" w:styleId="11">
    <w:name w:val="批注框文本 Char"/>
    <w:link w:val="3"/>
    <w:locked/>
    <w:uiPriority w:val="99"/>
    <w:rPr>
      <w:rFonts w:cs="Times New Roman"/>
      <w:kern w:val="2"/>
      <w:sz w:val="18"/>
    </w:rPr>
  </w:style>
  <w:style w:type="character" w:customStyle="1" w:styleId="12">
    <w:name w:val="页脚 Char"/>
    <w:link w:val="4"/>
    <w:qFormat/>
    <w:locked/>
    <w:uiPriority w:val="99"/>
    <w:rPr>
      <w:rFonts w:cs="Times New Roman"/>
      <w:kern w:val="2"/>
      <w:sz w:val="18"/>
    </w:rPr>
  </w:style>
  <w:style w:type="character" w:customStyle="1" w:styleId="13">
    <w:name w:val="页眉 Char"/>
    <w:link w:val="5"/>
    <w:locked/>
    <w:uiPriority w:val="99"/>
    <w:rPr>
      <w:rFonts w:cs="Times New Roman"/>
      <w:kern w:val="2"/>
      <w:sz w:val="18"/>
    </w:rPr>
  </w:style>
  <w:style w:type="paragraph" w:customStyle="1" w:styleId="14">
    <w:name w:val="notice_title"/>
    <w:basedOn w:val="1"/>
    <w:qFormat/>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522</Words>
  <Characters>2979</Characters>
  <Lines>24</Lines>
  <Paragraphs>6</Paragraphs>
  <TotalTime>163</TotalTime>
  <ScaleCrop>false</ScaleCrop>
  <LinksUpToDate>false</LinksUpToDate>
  <CharactersWithSpaces>3495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2016-05-29T09:45:00Z</dcterms:created>
  <dc:creator>许梦如</dc:creator>
  <cp:lastModifiedBy>Administrator</cp:lastModifiedBy>
  <cp:lastPrinted>2015-08-28T07:57:00Z</cp:lastPrinted>
  <dcterms:modified xsi:type="dcterms:W3CDTF">2025-02-13T05:08:35Z</dcterms:modified>
  <dc:title>喀什地区部门决算和三公经费</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