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atLeast"/>
        <w:rPr>
          <w:rFonts w:ascii="仿宋_GB2312" w:eastAsia="仿宋_GB2312"/>
          <w:sz w:val="32"/>
          <w:szCs w:val="32"/>
        </w:rPr>
      </w:pPr>
      <w:r>
        <w:rPr>
          <w:rFonts w:hint="eastAsia" w:ascii="仿宋_GB2312" w:eastAsia="仿宋_GB2312"/>
          <w:sz w:val="32"/>
          <w:szCs w:val="32"/>
        </w:rPr>
        <w:t>附件1：</w:t>
      </w:r>
    </w:p>
    <w:p>
      <w:pPr>
        <w:spacing w:line="560" w:lineRule="atLeast"/>
        <w:jc w:val="center"/>
        <w:rPr>
          <w:rFonts w:ascii="仿宋_GB2312" w:hAnsi="宋体" w:eastAsia="仿宋_GB2312"/>
          <w:b/>
          <w:sz w:val="44"/>
          <w:szCs w:val="44"/>
        </w:rPr>
      </w:pPr>
      <w:r>
        <w:rPr>
          <w:rFonts w:hint="eastAsia" w:ascii="仿宋_GB2312" w:hAnsi="宋体" w:eastAsia="仿宋_GB2312"/>
          <w:b/>
          <w:sz w:val="44"/>
          <w:szCs w:val="44"/>
        </w:rPr>
        <w:t>2016年喀什地区叶城县畜牧兽医局部门决算说明</w:t>
      </w:r>
    </w:p>
    <w:p>
      <w:pPr>
        <w:spacing w:line="560" w:lineRule="atLeast"/>
        <w:jc w:val="center"/>
        <w:rPr>
          <w:rFonts w:ascii="仿宋_GB2312" w:hAnsi="宋体" w:eastAsia="仿宋_GB2312"/>
          <w:b/>
          <w:sz w:val="32"/>
          <w:szCs w:val="32"/>
        </w:rPr>
      </w:pPr>
      <w:r>
        <w:rPr>
          <w:rFonts w:hint="eastAsia" w:ascii="仿宋_GB2312" w:hAnsi="宋体" w:eastAsia="仿宋_GB2312"/>
          <w:b/>
          <w:sz w:val="32"/>
          <w:szCs w:val="32"/>
        </w:rPr>
        <w:t xml:space="preserve"> </w:t>
      </w:r>
    </w:p>
    <w:p>
      <w:pPr>
        <w:spacing w:line="560" w:lineRule="atLeast"/>
        <w:ind w:firstLine="643" w:firstLineChars="200"/>
        <w:rPr>
          <w:rFonts w:ascii="仿宋_GB2312" w:eastAsia="仿宋_GB2312"/>
          <w:b/>
          <w:sz w:val="32"/>
          <w:szCs w:val="32"/>
        </w:rPr>
      </w:pPr>
      <w:r>
        <w:rPr>
          <w:rFonts w:hint="eastAsia" w:ascii="仿宋_GB2312" w:eastAsia="仿宋_GB2312"/>
          <w:b/>
          <w:sz w:val="32"/>
          <w:szCs w:val="32"/>
        </w:rPr>
        <w:t>一、部门基本情况：</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 ，全额拨款，执行会计制度为行政会计制度。独立编制机构1个，独立编制机构与上年无变动。</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一、主要职能：</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叶城县畜牧兽医局属行政单位，执行行政单位会计制度，有下属单位畜牧兽医局、动物卫生监督所、畜牧兽医站。叶城县畜牧兽医局主要职能是负责全县畜牧业技术推广、草原改良、畜牧业资源保护、畜牧业监督、畜牧业质量监督、畜牧业标准化管理、畜牧业项目管理、畜牧业许可管理、畜牧兽医器械产品登记、畜牧兽医器械产品进出口登记、畜禽品种登记等工作。</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 二、机构人员情况：编制9人，按照编委文件填报，实际实有在职人数20人，属于一般公共预算财政拨款开支8人，一般公共预算财政补助开支12人。2015年退休人数60人，2016年无退休人员，比上年减少了60人，实施机关事业单位养老保险改革退休人员纳入社保局统一管理。</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纳入叶城县畜牧兽医局2016年部门决算编制范围的单位名单见下表：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atLeast"/>
              <w:rPr>
                <w:rFonts w:ascii="仿宋_GB2312" w:hAnsi="宋体" w:eastAsia="仿宋_GB2312"/>
                <w:sz w:val="32"/>
                <w:szCs w:val="32"/>
              </w:rPr>
            </w:pPr>
            <w:r>
              <w:rPr>
                <w:rFonts w:hint="eastAsia" w:ascii="仿宋_GB2312" w:hAnsi="宋体" w:eastAsia="仿宋_GB2312"/>
                <w:sz w:val="32"/>
                <w:szCs w:val="32"/>
              </w:rPr>
              <w:t>序号</w:t>
            </w:r>
          </w:p>
        </w:tc>
        <w:tc>
          <w:tcPr>
            <w:tcW w:w="4616" w:type="dxa"/>
          </w:tcPr>
          <w:p>
            <w:pPr>
              <w:spacing w:line="560" w:lineRule="atLeast"/>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atLeast"/>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atLeast"/>
              <w:rPr>
                <w:rFonts w:ascii="仿宋_GB2312" w:hAnsi="宋体" w:eastAsia="仿宋_GB2312"/>
                <w:sz w:val="32"/>
                <w:szCs w:val="32"/>
              </w:rPr>
            </w:pPr>
            <w:r>
              <w:rPr>
                <w:rFonts w:hint="eastAsia" w:ascii="仿宋_GB2312" w:hAnsi="宋体" w:eastAsia="仿宋_GB2312"/>
                <w:sz w:val="32"/>
                <w:szCs w:val="32"/>
              </w:rPr>
              <w:t>1</w:t>
            </w:r>
          </w:p>
        </w:tc>
        <w:tc>
          <w:tcPr>
            <w:tcW w:w="4616" w:type="dxa"/>
          </w:tcPr>
          <w:p>
            <w:pPr>
              <w:spacing w:line="560" w:lineRule="atLeast"/>
              <w:rPr>
                <w:rFonts w:ascii="仿宋_GB2312" w:hAnsi="宋体" w:eastAsia="仿宋_GB2312"/>
                <w:sz w:val="32"/>
                <w:szCs w:val="32"/>
              </w:rPr>
            </w:pPr>
            <w:r>
              <w:rPr>
                <w:rFonts w:hint="eastAsia" w:ascii="仿宋_GB2312" w:hAnsi="宋体" w:eastAsia="仿宋_GB2312"/>
                <w:sz w:val="32"/>
                <w:szCs w:val="32"/>
              </w:rPr>
              <w:t>叶城县畜牧兽医局</w:t>
            </w:r>
          </w:p>
        </w:tc>
        <w:tc>
          <w:tcPr>
            <w:tcW w:w="2841" w:type="dxa"/>
          </w:tcPr>
          <w:p>
            <w:pPr>
              <w:spacing w:line="560" w:lineRule="atLeast"/>
              <w:rPr>
                <w:rFonts w:ascii="仿宋_GB2312" w:hAnsi="宋体" w:eastAsia="仿宋_GB2312"/>
                <w:sz w:val="32"/>
                <w:szCs w:val="32"/>
              </w:rPr>
            </w:pPr>
          </w:p>
        </w:tc>
      </w:tr>
    </w:tbl>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四、机构设置</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根据职责，我局分行政办公室、基建股、畜政股、畜产股、人事股、财务股、纳入2016年部门预算编制范围的有1个内设机构。</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第二部分   叶城县畜牧兽医局2016年度部门决算报表</w:t>
      </w:r>
    </w:p>
    <w:p>
      <w:pPr>
        <w:numPr>
          <w:ilvl w:val="0"/>
          <w:numId w:val="1"/>
        </w:numPr>
        <w:snapToGrid w:val="0"/>
        <w:spacing w:line="560" w:lineRule="atLeas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atLeas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atLeas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atLeas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atLeas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atLeas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atLeas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atLeas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atLeas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第三部分  叶城县畜牧兽医局2016年度部门决算情况说明</w:t>
      </w:r>
    </w:p>
    <w:p>
      <w:pPr>
        <w:snapToGrid w:val="0"/>
        <w:spacing w:line="560" w:lineRule="atLeas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napToGrid w:val="0"/>
        <w:spacing w:line="560" w:lineRule="atLeas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2016年全年收入合计87,716,919.90元，支出合计</w:t>
      </w:r>
      <w:r>
        <w:rPr>
          <w:rFonts w:ascii="仿宋_GB2312" w:hAnsi="宋体" w:eastAsia="仿宋_GB2312"/>
          <w:sz w:val="32"/>
          <w:szCs w:val="32"/>
        </w:rPr>
        <w:t>87604919.9</w:t>
      </w:r>
      <w:r>
        <w:rPr>
          <w:rFonts w:hint="eastAsia" w:ascii="仿宋_GB2312" w:hAnsi="宋体" w:eastAsia="仿宋_GB2312"/>
          <w:sz w:val="32"/>
          <w:szCs w:val="32"/>
        </w:rPr>
        <w:t>其中基本支出6501575.26元，项目支出81103344.64元。</w:t>
      </w:r>
    </w:p>
    <w:p>
      <w:pPr>
        <w:numPr>
          <w:ilvl w:val="0"/>
          <w:numId w:val="2"/>
        </w:numPr>
        <w:snapToGrid w:val="0"/>
        <w:spacing w:line="560" w:lineRule="atLeast"/>
        <w:rPr>
          <w:rFonts w:ascii="仿宋_GB2312" w:hAnsi="宋体" w:eastAsia="仿宋_GB2312"/>
          <w:sz w:val="32"/>
          <w:szCs w:val="32"/>
        </w:rPr>
      </w:pPr>
      <w:r>
        <w:rPr>
          <w:rFonts w:hint="eastAsia" w:ascii="仿宋_GB2312" w:hAnsi="宋体" w:eastAsia="仿宋_GB2312"/>
          <w:sz w:val="32"/>
          <w:szCs w:val="32"/>
        </w:rPr>
        <w:t>收入情况说明</w:t>
      </w:r>
    </w:p>
    <w:p>
      <w:pPr>
        <w:snapToGrid w:val="0"/>
        <w:spacing w:line="560" w:lineRule="atLeas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2016年本年收入合计87716919.9元，其中：财政拨款收入58480512.9元，无事业收入，无经营收入，其他收入29236407元。</w:t>
      </w:r>
    </w:p>
    <w:p>
      <w:pPr>
        <w:snapToGrid w:val="0"/>
        <w:spacing w:line="560" w:lineRule="atLeas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三、支出情况说明</w:t>
      </w:r>
    </w:p>
    <w:p>
      <w:pPr>
        <w:snapToGrid w:val="0"/>
        <w:spacing w:line="560" w:lineRule="atLeas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本年支出合计87604919.9元，其中：基本支出出6501575.26元，项目支出81103344.64元，无经营支出。</w:t>
      </w:r>
    </w:p>
    <w:p>
      <w:pPr>
        <w:snapToGrid w:val="0"/>
        <w:spacing w:line="560" w:lineRule="atLeas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atLeas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2016年结转结余资金312000（其中：财政拨款基本支出结转结余0元，项目支出结转结余312000元）。</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2016年“三公”经费实际支出49200元，其中：因公出国费用0批次，共组团0批次0人次,无出国事由；公务接待费4200元，共接待12批次26人次；无公务用车购置，年末公务用车保有量为3辆；公务用车维护费45000元。</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“三公”经费较上年相比减少106076元，其中：公务接待费减少35900元，公务用车维护费减少70176元。主要原因：严格执行</w:t>
      </w:r>
      <w:r>
        <w:rPr>
          <w:rFonts w:hint="eastAsia" w:ascii="仿宋_GB2312" w:hAnsi="宋体" w:eastAsia="仿宋_GB2312"/>
          <w:sz w:val="32"/>
          <w:szCs w:val="32"/>
          <w:lang w:eastAsia="zh-CN"/>
        </w:rPr>
        <w:t>中央</w:t>
      </w:r>
      <w:bookmarkStart w:id="0" w:name="_GoBack"/>
      <w:bookmarkEnd w:id="0"/>
      <w:r>
        <w:rPr>
          <w:rFonts w:hint="eastAsia" w:ascii="仿宋_GB2312" w:hAnsi="宋体" w:eastAsia="仿宋_GB2312"/>
          <w:sz w:val="32"/>
          <w:szCs w:val="32"/>
          <w:lang w:eastAsia="zh-CN"/>
        </w:rPr>
        <w:t>八项规定</w:t>
      </w:r>
      <w:r>
        <w:rPr>
          <w:rFonts w:hint="eastAsia" w:ascii="仿宋_GB2312" w:hAnsi="宋体" w:eastAsia="仿宋_GB2312"/>
          <w:sz w:val="32"/>
          <w:szCs w:val="32"/>
        </w:rPr>
        <w:t>厉行节约，压缩“三公”经费。</w:t>
      </w:r>
    </w:p>
    <w:p>
      <w:pPr>
        <w:snapToGrid w:val="0"/>
        <w:spacing w:line="560" w:lineRule="atLeast"/>
        <w:ind w:firstLine="640" w:firstLineChars="200"/>
        <w:rPr>
          <w:rFonts w:ascii="仿宋_GB2312" w:hAnsi="宋体" w:eastAsia="仿宋_GB2312"/>
          <w:sz w:val="32"/>
          <w:szCs w:val="32"/>
        </w:rPr>
      </w:pP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2016年无会议费支出.</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2016年培训费569600元其中项目培训费559600元。主要用于肉牛、肉羊监测进行培训。</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2016年本年收入87716919.9元，比2015年减少27839468.28元，减少原因：上级专项补助项目资金减少</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2016年本年支出87604919.9元，比2015年减少27751468.28元，减少原因：上级专项补助项目资金减少。</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w:t>
      </w:r>
      <w:r>
        <w:rPr>
          <w:rFonts w:ascii="仿宋_GB2312" w:hAnsi="宋体" w:eastAsia="仿宋_GB2312"/>
          <w:sz w:val="32"/>
          <w:szCs w:val="32"/>
        </w:rPr>
        <w:t>58368512.9</w:t>
      </w:r>
      <w:r>
        <w:rPr>
          <w:rFonts w:hint="eastAsia" w:ascii="仿宋_GB2312" w:hAnsi="宋体" w:eastAsia="仿宋_GB2312"/>
          <w:sz w:val="32"/>
          <w:szCs w:val="32"/>
        </w:rPr>
        <w:t>元，年初预算数13258589.08元，差异原：项目年初未按排预算。</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2016年叶城县畜牧兽医局机关运行经费支出115000元，比2015年减少311500元，降低73.04% ，主要原因是：按文件要求事业人员纳入乡镇管理，单位日常公用经费减少。</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2016年，叶城县畜牧兽医局政府采购支出总额5,027,645.00元，其中政府采购货物支出4,707,645.00元，政府采购工程支出0元，政府采购服务支出320000元。喀什地区为偏远地区，参与招投标的供应商基本为中小微企业。</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截止2016年12月31日，本单位共有车辆3辆，其中一般公务用车3辆，一般用车0辆，专业用车0辆，其他车辆0辆，无其他用车，单位价值在50万元以上的设备0台（套），价值0元。</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2016年，叶城县畜牧兽医局对民生项目、重点项目共支出81103344.64元，进行了预算绩效评价，涉及一般公共预算当年财政拨款51866937.64元，上海援疆资金29236407元。绩效评价结果：通过推行预算绩效管理工作，提高喀什地区肉羊生产供应能力，为市场提供大量优质肉产品，逐步解决喀什地区叶城县肉价格较高的问题，丰富全县及喀什地区人民的菜蓝子。同时，可以进一步调动农牧民科学养殖的积极性，而且可以提供劳动就业机会，充分将农村闲散劳动力利用起来，为城乡各族人民和加工业提供工作岗位，是提高农牧民增收的新途径，有利于社会，并能够带动相关产业发展，形成新的经济增长点，具有显著的社会效益。</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按收入项目分别列示：本单位是参照公务员法管理事业单位，无事业收入和经营收入。</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atLeast"/>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atLeast"/>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napToGrid w:val="0"/>
        <w:spacing w:line="560" w:lineRule="atLeast"/>
        <w:ind w:left="147" w:leftChars="70" w:firstLine="480" w:firstLineChars="150"/>
        <w:rPr>
          <w:rFonts w:ascii="仿宋_GB2312" w:hAnsi="宋体" w:eastAsia="仿宋_GB2312"/>
          <w:sz w:val="32"/>
          <w:szCs w:val="32"/>
        </w:rPr>
      </w:pPr>
    </w:p>
    <w:p>
      <w:pPr>
        <w:spacing w:line="560" w:lineRule="atLeast"/>
        <w:ind w:firstLine="640" w:firstLineChars="200"/>
        <w:rPr>
          <w:rFonts w:ascii="仿宋_GB2312" w:hAnsi="宋体" w:eastAsia="仿宋_GB2312"/>
          <w:sz w:val="32"/>
          <w:szCs w:val="32"/>
        </w:rPr>
      </w:pPr>
    </w:p>
    <w:p>
      <w:pPr>
        <w:snapToGrid w:val="0"/>
        <w:spacing w:line="560" w:lineRule="atLeast"/>
        <w:ind w:firstLine="643" w:firstLineChars="200"/>
        <w:rPr>
          <w:rFonts w:ascii="仿宋_GB2312" w:hAnsi="宋体" w:eastAsia="仿宋_GB2312"/>
          <w:b/>
          <w:sz w:val="32"/>
          <w:szCs w:val="32"/>
        </w:rPr>
      </w:pPr>
    </w:p>
    <w:p>
      <w:pPr>
        <w:snapToGrid w:val="0"/>
        <w:spacing w:line="560" w:lineRule="atLeast"/>
        <w:ind w:firstLine="643" w:firstLineChars="200"/>
        <w:rPr>
          <w:rFonts w:ascii="仿宋_GB2312" w:hAnsi="宋体" w:eastAsia="仿宋_GB2312"/>
          <w:b/>
          <w:sz w:val="32"/>
          <w:szCs w:val="3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36A8C"/>
    <w:rsid w:val="00042F1A"/>
    <w:rsid w:val="00045357"/>
    <w:rsid w:val="00052FE0"/>
    <w:rsid w:val="00054384"/>
    <w:rsid w:val="000703F5"/>
    <w:rsid w:val="0008034B"/>
    <w:rsid w:val="00086A97"/>
    <w:rsid w:val="00092C09"/>
    <w:rsid w:val="00094D69"/>
    <w:rsid w:val="000A056F"/>
    <w:rsid w:val="000A65DB"/>
    <w:rsid w:val="000C1A7C"/>
    <w:rsid w:val="000C3B20"/>
    <w:rsid w:val="000E65EB"/>
    <w:rsid w:val="000E7FFD"/>
    <w:rsid w:val="000F6232"/>
    <w:rsid w:val="00110979"/>
    <w:rsid w:val="001250CE"/>
    <w:rsid w:val="00140E78"/>
    <w:rsid w:val="00142BCE"/>
    <w:rsid w:val="00147040"/>
    <w:rsid w:val="00151463"/>
    <w:rsid w:val="001547AB"/>
    <w:rsid w:val="00170582"/>
    <w:rsid w:val="00177349"/>
    <w:rsid w:val="001870FE"/>
    <w:rsid w:val="001943AB"/>
    <w:rsid w:val="001A6F10"/>
    <w:rsid w:val="001D09C9"/>
    <w:rsid w:val="001E4658"/>
    <w:rsid w:val="00201438"/>
    <w:rsid w:val="00205C3B"/>
    <w:rsid w:val="00242FE4"/>
    <w:rsid w:val="0025255E"/>
    <w:rsid w:val="00262C89"/>
    <w:rsid w:val="00265B72"/>
    <w:rsid w:val="002743C3"/>
    <w:rsid w:val="00282B02"/>
    <w:rsid w:val="002835A2"/>
    <w:rsid w:val="00285D53"/>
    <w:rsid w:val="00287A2E"/>
    <w:rsid w:val="002900C9"/>
    <w:rsid w:val="002C37F3"/>
    <w:rsid w:val="002C677C"/>
    <w:rsid w:val="002C740B"/>
    <w:rsid w:val="002F256D"/>
    <w:rsid w:val="00303B2E"/>
    <w:rsid w:val="003158E9"/>
    <w:rsid w:val="00316064"/>
    <w:rsid w:val="0031707E"/>
    <w:rsid w:val="00333969"/>
    <w:rsid w:val="003472C5"/>
    <w:rsid w:val="00365EF9"/>
    <w:rsid w:val="00382266"/>
    <w:rsid w:val="00385DE4"/>
    <w:rsid w:val="003B0831"/>
    <w:rsid w:val="003B594E"/>
    <w:rsid w:val="003C2E54"/>
    <w:rsid w:val="003C4542"/>
    <w:rsid w:val="003C4DA5"/>
    <w:rsid w:val="003C6591"/>
    <w:rsid w:val="003D0C72"/>
    <w:rsid w:val="003D7C6A"/>
    <w:rsid w:val="003E4F26"/>
    <w:rsid w:val="00400E17"/>
    <w:rsid w:val="004026CC"/>
    <w:rsid w:val="00406AB0"/>
    <w:rsid w:val="00406BCB"/>
    <w:rsid w:val="00417715"/>
    <w:rsid w:val="004219C8"/>
    <w:rsid w:val="0043072D"/>
    <w:rsid w:val="0043342B"/>
    <w:rsid w:val="00434EEE"/>
    <w:rsid w:val="004356DF"/>
    <w:rsid w:val="0045212A"/>
    <w:rsid w:val="004743B3"/>
    <w:rsid w:val="00481B82"/>
    <w:rsid w:val="00483EB3"/>
    <w:rsid w:val="00486188"/>
    <w:rsid w:val="00487059"/>
    <w:rsid w:val="004A28B1"/>
    <w:rsid w:val="004B01B6"/>
    <w:rsid w:val="004B4CB4"/>
    <w:rsid w:val="004C0479"/>
    <w:rsid w:val="004C20E0"/>
    <w:rsid w:val="004D1FF5"/>
    <w:rsid w:val="004D2787"/>
    <w:rsid w:val="004D48D7"/>
    <w:rsid w:val="004D6F93"/>
    <w:rsid w:val="004E5B32"/>
    <w:rsid w:val="0050291C"/>
    <w:rsid w:val="00505C10"/>
    <w:rsid w:val="00511795"/>
    <w:rsid w:val="005272D8"/>
    <w:rsid w:val="00532879"/>
    <w:rsid w:val="005379BB"/>
    <w:rsid w:val="00541004"/>
    <w:rsid w:val="00547CA3"/>
    <w:rsid w:val="00552B99"/>
    <w:rsid w:val="00565025"/>
    <w:rsid w:val="005712DF"/>
    <w:rsid w:val="00592401"/>
    <w:rsid w:val="00594D6B"/>
    <w:rsid w:val="005C21F5"/>
    <w:rsid w:val="005C24CE"/>
    <w:rsid w:val="005D008D"/>
    <w:rsid w:val="005D5345"/>
    <w:rsid w:val="005D5F98"/>
    <w:rsid w:val="005D6922"/>
    <w:rsid w:val="005E4828"/>
    <w:rsid w:val="005E5284"/>
    <w:rsid w:val="005F70AA"/>
    <w:rsid w:val="00606A67"/>
    <w:rsid w:val="0061421F"/>
    <w:rsid w:val="0061786C"/>
    <w:rsid w:val="00642F1B"/>
    <w:rsid w:val="006537AC"/>
    <w:rsid w:val="006660F1"/>
    <w:rsid w:val="00672B4C"/>
    <w:rsid w:val="006773BD"/>
    <w:rsid w:val="00685E72"/>
    <w:rsid w:val="00694B19"/>
    <w:rsid w:val="00696752"/>
    <w:rsid w:val="006A1621"/>
    <w:rsid w:val="006A2219"/>
    <w:rsid w:val="006A56FC"/>
    <w:rsid w:val="006A7356"/>
    <w:rsid w:val="006D4B96"/>
    <w:rsid w:val="006E05E0"/>
    <w:rsid w:val="006F1159"/>
    <w:rsid w:val="006F13E9"/>
    <w:rsid w:val="006F3090"/>
    <w:rsid w:val="006F3AD3"/>
    <w:rsid w:val="006F7FA8"/>
    <w:rsid w:val="007141F2"/>
    <w:rsid w:val="007226FB"/>
    <w:rsid w:val="00772499"/>
    <w:rsid w:val="007747C2"/>
    <w:rsid w:val="00782159"/>
    <w:rsid w:val="00793D15"/>
    <w:rsid w:val="007978CD"/>
    <w:rsid w:val="007A2BDC"/>
    <w:rsid w:val="007A7401"/>
    <w:rsid w:val="007B3A74"/>
    <w:rsid w:val="007C2995"/>
    <w:rsid w:val="00804A6A"/>
    <w:rsid w:val="008104D1"/>
    <w:rsid w:val="00815033"/>
    <w:rsid w:val="0083537D"/>
    <w:rsid w:val="00842279"/>
    <w:rsid w:val="00847706"/>
    <w:rsid w:val="00852AA7"/>
    <w:rsid w:val="00854186"/>
    <w:rsid w:val="00855083"/>
    <w:rsid w:val="008640A7"/>
    <w:rsid w:val="008664F8"/>
    <w:rsid w:val="00875BF0"/>
    <w:rsid w:val="00877032"/>
    <w:rsid w:val="00880D0D"/>
    <w:rsid w:val="008872A2"/>
    <w:rsid w:val="00895A64"/>
    <w:rsid w:val="00895BE7"/>
    <w:rsid w:val="008B02AA"/>
    <w:rsid w:val="008C5ABD"/>
    <w:rsid w:val="008D28A9"/>
    <w:rsid w:val="008E1C0A"/>
    <w:rsid w:val="008E26A2"/>
    <w:rsid w:val="00904BEA"/>
    <w:rsid w:val="009078E5"/>
    <w:rsid w:val="00910498"/>
    <w:rsid w:val="00912873"/>
    <w:rsid w:val="00921956"/>
    <w:rsid w:val="00921F8C"/>
    <w:rsid w:val="00930042"/>
    <w:rsid w:val="0093238D"/>
    <w:rsid w:val="00954B4B"/>
    <w:rsid w:val="00967806"/>
    <w:rsid w:val="00975694"/>
    <w:rsid w:val="00977DA8"/>
    <w:rsid w:val="00982ADF"/>
    <w:rsid w:val="00986E5F"/>
    <w:rsid w:val="00993E4A"/>
    <w:rsid w:val="00995A2D"/>
    <w:rsid w:val="009A7D21"/>
    <w:rsid w:val="009C2AB4"/>
    <w:rsid w:val="009C453B"/>
    <w:rsid w:val="009C7F6B"/>
    <w:rsid w:val="009D6A79"/>
    <w:rsid w:val="009E11AD"/>
    <w:rsid w:val="009F1B75"/>
    <w:rsid w:val="009F1C09"/>
    <w:rsid w:val="009F275C"/>
    <w:rsid w:val="009F39C7"/>
    <w:rsid w:val="009F6D25"/>
    <w:rsid w:val="00A32422"/>
    <w:rsid w:val="00A3418E"/>
    <w:rsid w:val="00A3483C"/>
    <w:rsid w:val="00A36B7A"/>
    <w:rsid w:val="00A376FB"/>
    <w:rsid w:val="00A407D1"/>
    <w:rsid w:val="00A63C42"/>
    <w:rsid w:val="00A70BC8"/>
    <w:rsid w:val="00AA1759"/>
    <w:rsid w:val="00AA2D15"/>
    <w:rsid w:val="00AA3003"/>
    <w:rsid w:val="00AA652C"/>
    <w:rsid w:val="00AC139B"/>
    <w:rsid w:val="00AD7784"/>
    <w:rsid w:val="00B0408D"/>
    <w:rsid w:val="00B113E6"/>
    <w:rsid w:val="00B24563"/>
    <w:rsid w:val="00B635BA"/>
    <w:rsid w:val="00B919A9"/>
    <w:rsid w:val="00BB2497"/>
    <w:rsid w:val="00BB372B"/>
    <w:rsid w:val="00BB7B3E"/>
    <w:rsid w:val="00BC173E"/>
    <w:rsid w:val="00C038E6"/>
    <w:rsid w:val="00C15174"/>
    <w:rsid w:val="00C16BBC"/>
    <w:rsid w:val="00C249AD"/>
    <w:rsid w:val="00C337C1"/>
    <w:rsid w:val="00C4155A"/>
    <w:rsid w:val="00C45F21"/>
    <w:rsid w:val="00C605BD"/>
    <w:rsid w:val="00C61DC5"/>
    <w:rsid w:val="00C62423"/>
    <w:rsid w:val="00C646F6"/>
    <w:rsid w:val="00C955CC"/>
    <w:rsid w:val="00C95A22"/>
    <w:rsid w:val="00CB3117"/>
    <w:rsid w:val="00CB4567"/>
    <w:rsid w:val="00CD62F6"/>
    <w:rsid w:val="00CE1862"/>
    <w:rsid w:val="00CE37ED"/>
    <w:rsid w:val="00CF0359"/>
    <w:rsid w:val="00CF51EE"/>
    <w:rsid w:val="00D168C0"/>
    <w:rsid w:val="00D4613F"/>
    <w:rsid w:val="00D5318C"/>
    <w:rsid w:val="00D554FC"/>
    <w:rsid w:val="00D705D6"/>
    <w:rsid w:val="00D73852"/>
    <w:rsid w:val="00D81E3D"/>
    <w:rsid w:val="00D91222"/>
    <w:rsid w:val="00D948CA"/>
    <w:rsid w:val="00D96CA9"/>
    <w:rsid w:val="00D97083"/>
    <w:rsid w:val="00D97256"/>
    <w:rsid w:val="00DA057C"/>
    <w:rsid w:val="00DA16BE"/>
    <w:rsid w:val="00DA7DD5"/>
    <w:rsid w:val="00DB13AB"/>
    <w:rsid w:val="00DB2FC5"/>
    <w:rsid w:val="00DD2C8C"/>
    <w:rsid w:val="00DE344D"/>
    <w:rsid w:val="00E026AE"/>
    <w:rsid w:val="00E02A0A"/>
    <w:rsid w:val="00E339F2"/>
    <w:rsid w:val="00E41D86"/>
    <w:rsid w:val="00E50702"/>
    <w:rsid w:val="00E578A5"/>
    <w:rsid w:val="00E76C5A"/>
    <w:rsid w:val="00E774D0"/>
    <w:rsid w:val="00E8388E"/>
    <w:rsid w:val="00EA5F52"/>
    <w:rsid w:val="00EB3757"/>
    <w:rsid w:val="00EC1F82"/>
    <w:rsid w:val="00EC282F"/>
    <w:rsid w:val="00ED266D"/>
    <w:rsid w:val="00ED7530"/>
    <w:rsid w:val="00ED7C8E"/>
    <w:rsid w:val="00EE0438"/>
    <w:rsid w:val="00EE25EB"/>
    <w:rsid w:val="00EE2E07"/>
    <w:rsid w:val="00EE66B1"/>
    <w:rsid w:val="00EF030E"/>
    <w:rsid w:val="00EF3B2C"/>
    <w:rsid w:val="00EF7B17"/>
    <w:rsid w:val="00F0364D"/>
    <w:rsid w:val="00F0560F"/>
    <w:rsid w:val="00F06CB4"/>
    <w:rsid w:val="00F10E94"/>
    <w:rsid w:val="00F13D87"/>
    <w:rsid w:val="00F15C2B"/>
    <w:rsid w:val="00F16C5D"/>
    <w:rsid w:val="00F31DC8"/>
    <w:rsid w:val="00F453E0"/>
    <w:rsid w:val="00F5693C"/>
    <w:rsid w:val="00F76D28"/>
    <w:rsid w:val="00F81C9E"/>
    <w:rsid w:val="00F820FC"/>
    <w:rsid w:val="00F83026"/>
    <w:rsid w:val="00F907D2"/>
    <w:rsid w:val="00FA08FE"/>
    <w:rsid w:val="00FB2C0D"/>
    <w:rsid w:val="00FB30E0"/>
    <w:rsid w:val="00FC0338"/>
    <w:rsid w:val="00FF5D03"/>
    <w:rsid w:val="667A15C7"/>
    <w:rsid w:val="7408023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style>
  <w:style w:type="paragraph" w:styleId="3">
    <w:name w:val="Balloon Text"/>
    <w:basedOn w:val="1"/>
    <w:link w:val="11"/>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240"/>
      <w:jc w:val="left"/>
    </w:pPr>
    <w:rPr>
      <w:rFonts w:ascii="宋体" w:hAnsi="宋体" w:cs="宋体"/>
      <w:kern w:val="0"/>
      <w:sz w:val="24"/>
    </w:r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4"/>
      <w:szCs w:val="24"/>
    </w:rPr>
  </w:style>
  <w:style w:type="character" w:customStyle="1" w:styleId="11">
    <w:name w:val="批注框文本 Char"/>
    <w:link w:val="3"/>
    <w:locked/>
    <w:uiPriority w:val="99"/>
    <w:rPr>
      <w:rFonts w:cs="Times New Roman"/>
      <w:kern w:val="2"/>
      <w:sz w:val="18"/>
    </w:rPr>
  </w:style>
  <w:style w:type="character" w:customStyle="1" w:styleId="12">
    <w:name w:val="页脚 Char"/>
    <w:link w:val="4"/>
    <w:locked/>
    <w:uiPriority w:val="99"/>
    <w:rPr>
      <w:rFonts w:cs="Times New Roman"/>
      <w:kern w:val="2"/>
      <w:sz w:val="18"/>
    </w:rPr>
  </w:style>
  <w:style w:type="character" w:customStyle="1" w:styleId="13">
    <w:name w:val="页眉 Char"/>
    <w:link w:val="5"/>
    <w:locked/>
    <w:uiPriority w:val="99"/>
    <w:rPr>
      <w:rFonts w:cs="Times New Roman"/>
      <w:kern w:val="2"/>
      <w:sz w:val="18"/>
    </w:rPr>
  </w:style>
  <w:style w:type="paragraph" w:customStyle="1" w:styleId="14">
    <w:name w:val="notice_title"/>
    <w:basedOn w:val="1"/>
    <w:uiPriority w:val="99"/>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Pages>
  <Words>521</Words>
  <Characters>2974</Characters>
  <Lines>24</Lines>
  <Paragraphs>6</Paragraphs>
  <TotalTime>100</TotalTime>
  <ScaleCrop>false</ScaleCrop>
  <LinksUpToDate>false</LinksUpToDate>
  <CharactersWithSpaces>3489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2016-05-29T09:25:00Z</dcterms:created>
  <dc:creator>许梦如</dc:creator>
  <cp:lastModifiedBy>Administrator</cp:lastModifiedBy>
  <cp:lastPrinted>2015-08-28T07:57:00Z</cp:lastPrinted>
  <dcterms:modified xsi:type="dcterms:W3CDTF">2023-10-09T08:57:30Z</dcterms:modified>
  <dc:title>喀什地区部门决算和三公经费</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