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仿宋_GB2312" w:eastAsia="仿宋_GB2312"/>
          <w:sz w:val="32"/>
          <w:szCs w:val="32"/>
        </w:rPr>
      </w:pPr>
      <w:r>
        <w:rPr>
          <w:rFonts w:hint="eastAsia" w:ascii="仿宋_GB2312" w:eastAsia="仿宋_GB2312"/>
          <w:sz w:val="32"/>
          <w:szCs w:val="32"/>
        </w:rPr>
        <w:t>附件1：</w:t>
      </w:r>
    </w:p>
    <w:p>
      <w:pPr>
        <w:spacing w:line="560" w:lineRule="exact"/>
        <w:jc w:val="center"/>
        <w:rPr>
          <w:rFonts w:ascii="仿宋_GB2312" w:hAnsi="宋体" w:eastAsia="仿宋_GB2312"/>
          <w:b/>
          <w:sz w:val="44"/>
          <w:szCs w:val="44"/>
        </w:rPr>
      </w:pPr>
      <w:r>
        <w:rPr>
          <w:rFonts w:hint="eastAsia" w:ascii="仿宋_GB2312" w:hAnsi="宋体" w:eastAsia="仿宋_GB2312"/>
          <w:b/>
          <w:sz w:val="44"/>
          <w:szCs w:val="44"/>
        </w:rPr>
        <w:t>2016年喀什地区叶城县普萨牧场部门决算说明</w:t>
      </w:r>
    </w:p>
    <w:p>
      <w:pPr>
        <w:spacing w:line="560" w:lineRule="exact"/>
        <w:jc w:val="center"/>
        <w:rPr>
          <w:rFonts w:ascii="仿宋_GB2312" w:hAnsi="宋体" w:eastAsia="仿宋_GB2312"/>
          <w:b/>
          <w:sz w:val="32"/>
          <w:szCs w:val="32"/>
        </w:rPr>
      </w:pPr>
      <w:r>
        <w:rPr>
          <w:rFonts w:hint="eastAsia" w:ascii="仿宋_GB2312" w:hAnsi="宋体" w:eastAsia="仿宋_GB2312"/>
          <w:b/>
          <w:sz w:val="32"/>
          <w:szCs w:val="32"/>
        </w:rPr>
        <w:t xml:space="preserve"> </w:t>
      </w:r>
    </w:p>
    <w:p>
      <w:pPr>
        <w:spacing w:line="560" w:lineRule="exact"/>
        <w:ind w:firstLine="643" w:firstLineChars="200"/>
        <w:jc w:val="center"/>
        <w:rPr>
          <w:rFonts w:ascii="仿宋_GB2312" w:eastAsia="仿宋_GB2312"/>
          <w:b/>
          <w:bCs/>
          <w:sz w:val="32"/>
          <w:szCs w:val="32"/>
        </w:rPr>
      </w:pPr>
      <w:r>
        <w:rPr>
          <w:rFonts w:hint="eastAsia" w:ascii="仿宋_GB2312" w:eastAsia="仿宋_GB2312" w:cs="仿宋_GB2312"/>
          <w:b/>
          <w:bCs/>
          <w:sz w:val="32"/>
          <w:szCs w:val="32"/>
        </w:rPr>
        <w:t>第一部分 单位概述</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单位性质为全额事业单位，全额拨款，执行会计制度为事业会计制度。独立编制机构1个，独立编制机构与上年无变动。</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一、主要职能：负责全场党政行政管理事务。把党的各项优惠政策落实到实处，负责全场经济社会发展、社会事务管理、基层组织建设等全面工作。以</w:t>
      </w:r>
      <w:bookmarkStart w:id="1" w:name="_GoBack"/>
      <w:bookmarkEnd w:id="1"/>
      <w:r>
        <w:rPr>
          <w:rFonts w:hint="eastAsia" w:ascii="仿宋_GB2312" w:hAnsi="宋体" w:eastAsia="仿宋_GB2312"/>
          <w:sz w:val="32"/>
          <w:szCs w:val="32"/>
        </w:rPr>
        <w:t xml:space="preserve">全面建设社会主义新农村为根本出发点，不断深化美丽乡、村建设为总目标，不断铸牢全乡经济社会发展基础，为全乡种族群众提供社会服务。 </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二、机构人员情况：编制9人，按照编委文件填报，年末实有在职人数 3人，属于一般公共预算财政补助开支3人。2015年退休4人，2016年无退休人员，比上年减少4人，主要原因：实施机关事业单位养老保险改革退休人员纳入社保局统一管理。</w:t>
      </w:r>
    </w:p>
    <w:p>
      <w:pPr>
        <w:spacing w:line="560" w:lineRule="exact"/>
        <w:ind w:firstLine="640" w:firstLineChars="200"/>
        <w:rPr>
          <w:rFonts w:ascii="仿宋_GB2312" w:hAnsi="宋体" w:eastAsia="仿宋_GB2312"/>
          <w:sz w:val="32"/>
          <w:szCs w:val="32"/>
        </w:rPr>
      </w:pPr>
      <w:bookmarkStart w:id="0" w:name="YS060102"/>
      <w:r>
        <w:rPr>
          <w:rFonts w:hint="eastAsia" w:ascii="仿宋_GB2312" w:hAnsi="宋体" w:eastAsia="仿宋_GB2312"/>
          <w:sz w:val="32"/>
          <w:szCs w:val="32"/>
        </w:rPr>
        <w:t>三、决算单位构成</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纳入叶城县普萨牧场2016年部门决算编制范围的单位名单见下表：</w:t>
      </w:r>
    </w:p>
    <w:tbl>
      <w:tblPr>
        <w:tblStyle w:val="7"/>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5"/>
        <w:gridCol w:w="3817"/>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15" w:type="dxa"/>
          </w:tcPr>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序号</w:t>
            </w:r>
          </w:p>
        </w:tc>
        <w:tc>
          <w:tcPr>
            <w:tcW w:w="3817" w:type="dxa"/>
          </w:tcPr>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单位名称</w:t>
            </w:r>
          </w:p>
        </w:tc>
        <w:tc>
          <w:tcPr>
            <w:tcW w:w="2841" w:type="dxa"/>
          </w:tcPr>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5" w:type="dxa"/>
          </w:tcPr>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1</w:t>
            </w:r>
          </w:p>
        </w:tc>
        <w:tc>
          <w:tcPr>
            <w:tcW w:w="3817" w:type="dxa"/>
          </w:tcPr>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叶城县普萨牧场</w:t>
            </w:r>
          </w:p>
        </w:tc>
        <w:tc>
          <w:tcPr>
            <w:tcW w:w="2841" w:type="dxa"/>
          </w:tcPr>
          <w:p>
            <w:pPr>
              <w:spacing w:line="560" w:lineRule="exact"/>
              <w:ind w:firstLine="640" w:firstLineChars="200"/>
              <w:rPr>
                <w:rFonts w:ascii="仿宋_GB2312" w:hAnsi="宋体" w:eastAsia="仿宋_GB2312"/>
                <w:sz w:val="32"/>
                <w:szCs w:val="32"/>
              </w:rPr>
            </w:pPr>
          </w:p>
        </w:tc>
      </w:tr>
    </w:tbl>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四、机构设置</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根据职责，无纳入2016年部门预算编制范围的内设机构。下设农村经济办、社会事务办、党建办、综治办、财务室。</w:t>
      </w:r>
    </w:p>
    <w:p>
      <w:pPr>
        <w:spacing w:line="560" w:lineRule="exact"/>
        <w:jc w:val="center"/>
        <w:rPr>
          <w:rFonts w:ascii="仿宋_GB2312" w:hAnsi="宋体" w:eastAsia="仿宋_GB2312"/>
          <w:b/>
          <w:sz w:val="32"/>
          <w:szCs w:val="32"/>
        </w:rPr>
      </w:pPr>
      <w:r>
        <w:rPr>
          <w:rFonts w:hint="eastAsia" w:ascii="仿宋_GB2312" w:hAnsi="宋体" w:eastAsia="仿宋_GB2312"/>
          <w:b/>
          <w:sz w:val="32"/>
          <w:szCs w:val="32"/>
        </w:rPr>
        <w:t>第二部分   叶城县普萨牧场2016年度部门决算报表</w:t>
      </w:r>
    </w:p>
    <w:p>
      <w:pPr>
        <w:numPr>
          <w:ilvl w:val="0"/>
          <w:numId w:val="1"/>
        </w:numPr>
        <w:snapToGrid w:val="0"/>
        <w:spacing w:line="560" w:lineRule="exact"/>
        <w:rPr>
          <w:rFonts w:ascii="仿宋_GB2312" w:hAnsi="宋体" w:eastAsia="仿宋_GB2312" w:cs="仿宋_GB2312"/>
          <w:sz w:val="32"/>
          <w:szCs w:val="32"/>
        </w:rPr>
      </w:pPr>
      <w:r>
        <w:rPr>
          <w:rFonts w:hint="eastAsia" w:ascii="仿宋_GB2312" w:hAnsi="宋体" w:eastAsia="仿宋_GB2312" w:cs="仿宋_GB2312"/>
          <w:sz w:val="32"/>
          <w:szCs w:val="32"/>
        </w:rPr>
        <w:t>收入支出决算总表</w:t>
      </w:r>
    </w:p>
    <w:p>
      <w:pPr>
        <w:numPr>
          <w:ilvl w:val="0"/>
          <w:numId w:val="1"/>
        </w:numPr>
        <w:snapToGrid w:val="0"/>
        <w:spacing w:line="560" w:lineRule="exact"/>
        <w:rPr>
          <w:rFonts w:ascii="仿宋_GB2312" w:hAnsi="宋体" w:eastAsia="仿宋_GB2312"/>
          <w:sz w:val="32"/>
          <w:szCs w:val="32"/>
        </w:rPr>
      </w:pPr>
      <w:r>
        <w:rPr>
          <w:rFonts w:hint="eastAsia" w:ascii="仿宋_GB2312" w:hAnsi="宋体" w:eastAsia="仿宋_GB2312" w:cs="仿宋_GB2312"/>
          <w:sz w:val="32"/>
          <w:szCs w:val="32"/>
        </w:rPr>
        <w:t>财政拨款收入支出决算总表</w:t>
      </w:r>
    </w:p>
    <w:p>
      <w:pPr>
        <w:numPr>
          <w:ilvl w:val="0"/>
          <w:numId w:val="1"/>
        </w:numPr>
        <w:snapToGrid w:val="0"/>
        <w:spacing w:line="560" w:lineRule="exact"/>
        <w:rPr>
          <w:rFonts w:ascii="仿宋_GB2312" w:hAnsi="宋体" w:eastAsia="仿宋_GB2312"/>
          <w:sz w:val="32"/>
          <w:szCs w:val="32"/>
        </w:rPr>
      </w:pPr>
      <w:r>
        <w:rPr>
          <w:rFonts w:hint="eastAsia" w:ascii="仿宋_GB2312" w:hAnsi="宋体" w:eastAsia="仿宋_GB2312" w:cs="仿宋_GB2312"/>
          <w:sz w:val="32"/>
          <w:szCs w:val="32"/>
        </w:rPr>
        <w:t>收入支出决算表</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四、收入决算表</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五、支出决算表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六、支出决算明细表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七、基本支出决算明细表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八、项目支出决算明细表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九、项目收入支出决算表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十、行政事业类项目收入支出决算表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十一、基本建设类项目收入支出决算表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十二、一般公共预算财政拨款收入支出决算表</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十三、一般公共预算财政拨款支出决算明细表</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十四、一般公共预算财政拨款基本支出决算表</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十五、一般公共预算财政拨款项目支出决算表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十六、政府性基金预算财政拨款收入支出决算表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十七、政府性基金预算财政拨款基本支出决算明细表</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十八、政府性基金预算财政拨款项目支出决算明细表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十九、</w:t>
      </w:r>
      <w:r>
        <w:rPr>
          <w:rFonts w:hint="eastAsia" w:ascii="仿宋_GB2312" w:hAnsi="宋体" w:eastAsia="仿宋_GB2312" w:cs="仿宋_GB2312"/>
          <w:sz w:val="32"/>
          <w:szCs w:val="32"/>
        </w:rPr>
        <w:t>政府性基金预算财政拨款支出决算明细表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二十、财政专户管理资金收入支出决算表</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二十一、资产负债表</w:t>
      </w:r>
    </w:p>
    <w:p>
      <w:pPr>
        <w:snapToGrid w:val="0"/>
        <w:spacing w:line="560" w:lineRule="exact"/>
        <w:ind w:firstLine="640" w:firstLineChars="200"/>
        <w:rPr>
          <w:rFonts w:ascii="仿宋_GB2312" w:eastAsia="仿宋_GB2312" w:cs="仿宋_GB2312"/>
          <w:sz w:val="32"/>
          <w:szCs w:val="32"/>
        </w:rPr>
      </w:pPr>
      <w:r>
        <w:rPr>
          <w:rFonts w:hint="eastAsia" w:ascii="仿宋_GB2312" w:hAnsi="宋体" w:eastAsia="仿宋_GB2312" w:cs="仿宋_GB2312"/>
          <w:sz w:val="32"/>
          <w:szCs w:val="32"/>
        </w:rPr>
        <w:t>二十二、</w:t>
      </w:r>
      <w:r>
        <w:rPr>
          <w:rFonts w:hint="eastAsia" w:ascii="仿宋_GB2312" w:eastAsia="仿宋_GB2312" w:cs="仿宋_GB2312"/>
          <w:sz w:val="32"/>
          <w:szCs w:val="32"/>
        </w:rPr>
        <w:t>资产情况表</w:t>
      </w:r>
    </w:p>
    <w:p>
      <w:pPr>
        <w:snapToGrid w:val="0"/>
        <w:spacing w:line="56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二十三、部门决算相关信息统计表</w:t>
      </w:r>
    </w:p>
    <w:p>
      <w:pPr>
        <w:snapToGrid w:val="0"/>
        <w:spacing w:line="56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二十四、政府采购情况表</w:t>
      </w:r>
    </w:p>
    <w:p>
      <w:pPr>
        <w:snapToGrid w:val="0"/>
        <w:spacing w:line="56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二十五、2016年项目支出专项资金决算公开表</w:t>
      </w:r>
    </w:p>
    <w:p>
      <w:pPr>
        <w:snapToGrid w:val="0"/>
        <w:spacing w:line="560" w:lineRule="exact"/>
        <w:ind w:firstLine="640" w:firstLineChars="200"/>
        <w:rPr>
          <w:rFonts w:ascii="仿宋_GB2312" w:hAnsi="宋体" w:eastAsia="仿宋_GB2312"/>
          <w:sz w:val="32"/>
          <w:szCs w:val="32"/>
        </w:rPr>
      </w:pPr>
      <w:r>
        <w:rPr>
          <w:rFonts w:hint="eastAsia" w:ascii="仿宋_GB2312" w:eastAsia="仿宋_GB2312" w:cs="仿宋_GB2312"/>
          <w:sz w:val="32"/>
          <w:szCs w:val="32"/>
        </w:rPr>
        <w:t>二十六、2016年对个人和家庭的补助项目支出专项资金决算公开表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二十七、2016年度财政拨款“三公”经费支出表及说明</w:t>
      </w:r>
    </w:p>
    <w:p>
      <w:pPr>
        <w:spacing w:line="560" w:lineRule="exact"/>
        <w:jc w:val="center"/>
        <w:rPr>
          <w:rFonts w:ascii="仿宋_GB2312" w:hAnsi="宋体" w:eastAsia="仿宋_GB2312"/>
          <w:b/>
          <w:sz w:val="32"/>
          <w:szCs w:val="32"/>
        </w:rPr>
      </w:pPr>
      <w:r>
        <w:rPr>
          <w:rFonts w:hint="eastAsia" w:ascii="仿宋_GB2312" w:hAnsi="宋体" w:eastAsia="仿宋_GB2312"/>
          <w:b/>
          <w:sz w:val="32"/>
          <w:szCs w:val="32"/>
        </w:rPr>
        <w:t>第三部分  叶城县普萨牧场2016年度部门决算情况说明</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一、部门收入支出决算总体情况说明：</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2016年全年收入合计9000709.9元，支出合计9000709.9元，其中基本支出607009.9元，项目支出8393700元。</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收入情况说明</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2016年本年收入合计9000709.9元，其中：财政拨款收入9000709.9元，无事业收入，无经营收入，无其他收入。</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三、支出情况说明</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本年支出合计9000709.9元，其中：基本支出607009.9元，项目支出8393700元，无经营支出。</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四、年末结转结余情况说明</w:t>
      </w:r>
    </w:p>
    <w:p>
      <w:pPr>
        <w:snapToGrid w:val="0"/>
        <w:spacing w:line="560" w:lineRule="exact"/>
        <w:ind w:left="149" w:leftChars="71" w:firstLine="480" w:firstLineChars="150"/>
        <w:rPr>
          <w:rFonts w:ascii="仿宋_GB2312" w:hAnsi="宋体" w:eastAsia="仿宋_GB2312"/>
          <w:sz w:val="32"/>
          <w:szCs w:val="32"/>
        </w:rPr>
      </w:pPr>
      <w:r>
        <w:rPr>
          <w:rFonts w:hint="eastAsia" w:ascii="仿宋_GB2312" w:hAnsi="宋体" w:eastAsia="仿宋_GB2312" w:cs="仿宋_GB2312"/>
          <w:sz w:val="32"/>
          <w:szCs w:val="32"/>
        </w:rPr>
        <w:t>2016年结转结余资金0元（其中：财政拨款基本支出结转结余0元，主要为本年无年末结转结余资金，项目支出结转结余0元，主要为本年无年末结转结余资金）。</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五、“三公”经费、会议费和培训费支出情况说明</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2016年“三公”经费实际支出15000元，其中：因公出国费用0批次，共组团0批次0人次,无出国事由；公务接待费0元；无公务用车购置，年末公务用车保有量为1辆；公务用车维护费15000元。</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“三公”经费较上年相比无增减变动。其中：公务用车维护费多支出0元,公务接待费少支出0元；无公务用车购置费，无因公出国费用。主要原因为：主要原因为：严格执行</w:t>
      </w:r>
      <w:r>
        <w:rPr>
          <w:rFonts w:hint="eastAsia" w:ascii="仿宋_GB2312" w:hAnsi="宋体" w:eastAsia="仿宋_GB2312"/>
          <w:sz w:val="32"/>
          <w:szCs w:val="32"/>
          <w:lang w:eastAsia="zh-CN"/>
        </w:rPr>
        <w:t>中央八项规定</w:t>
      </w:r>
      <w:r>
        <w:rPr>
          <w:rFonts w:hint="eastAsia" w:ascii="仿宋_GB2312" w:hAnsi="宋体" w:eastAsia="仿宋_GB2312"/>
          <w:sz w:val="32"/>
          <w:szCs w:val="32"/>
        </w:rPr>
        <w:t>厉行节约，压缩“三公”经费。</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 2016年无会议费</w:t>
      </w:r>
    </w:p>
    <w:p>
      <w:pPr>
        <w:spacing w:line="560" w:lineRule="exact"/>
        <w:ind w:firstLine="800" w:firstLineChars="250"/>
        <w:rPr>
          <w:rFonts w:ascii="仿宋_GB2312" w:hAnsi="宋体" w:eastAsia="仿宋_GB2312"/>
          <w:sz w:val="32"/>
          <w:szCs w:val="32"/>
        </w:rPr>
      </w:pPr>
      <w:r>
        <w:rPr>
          <w:rFonts w:hint="eastAsia" w:ascii="仿宋_GB2312" w:hAnsi="宋体" w:eastAsia="仿宋_GB2312"/>
          <w:sz w:val="32"/>
          <w:szCs w:val="32"/>
        </w:rPr>
        <w:t>2016年培训费58000元。主要用于对牧民进行农业生产技术进行培训</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六、预算执行情况说明</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2016年本年收入9000709.9元，比2015年增加3,610,415.12元，增加原因：上级专项补助资金增加。 </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2016年本年支出9000709.9元，比2015年增加3,610,415.12元，增加原因：上级专项补助资金增加。</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2016年财政拨款支出9000709.9元，年初预算数593561.14元，差异原因为上级专项补助资金未做预算安排。</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七、决算公开其他重要事项情况说明</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（一）机关运行经费支出情况</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2016年叶城县普萨牧场机关运行经费支出25500元，比2015年减少22500元，降低46.870%，主要原因是：严格按照中央八项规定要求压减机关运行支出 。</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（二）政府采购支出情况</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2016年，叶城县普萨牧场政府采购支出总额0元，其中政府采购货物支出0元，政府采购工程支出0元，政府采购服务支出0元。喀什地区为偏远地区，参与招投标的供应商基本为中小微企业。    </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（三）国有资产占用情况</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截止2016年12月31日，本单位共有车辆1辆，其中一般公务用车1辆，一般用车0辆，专业用车0辆，其他车辆0辆，无其他用车，单位价值在50万元以上的设备0台（套），价值0元。</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（四）民生项目、重点支出项目绩效评价结果</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2016年，叶城县普萨牧场共组织对 3 个项目进行了预算绩效评价，涉及一般公共预算当年财政拨款8393700.00万元，其中：人员生活补助费413700元，村级惠民生项目1300000元，保障房建设项目修水渠5870000元，文化宣传业务费、“一事一议”业务费及站办公经费810000元。绩效评价结果：通过推行预算绩效管理工作，使部门服务水平和质量不断得以改进提升，真正做到花尽量少的资金、办尽量多的事，政府行为更加务实、高效了。为人员解决了生活中的一些实际困难，给农牧民解决生活生产用水问题，为各项工作的顺利开展奠定基础。</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（五）事业收入明细、经营收入明细</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按收入项目分别列示：本单位是行政单位，无事业收入和经营收入。</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八、专业名词解释</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（一）财政拨款收入：指单位本年度从本级财政部门取得得财政拨款。 </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（二）事业收入：指事业单位开展专业业务活动及辅助活动所取得的收入。 </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（三）经营收入：指事业单位在专业业务活动及其辅助活动之外开展非独立核算经营活动取得的收入。 </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（四）其他收入：指除上述“财政拨款收入”、“事业收入”、“经营收入”等以外的收入。 </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五)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 </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（六）年初结转和结余：指以前年度尚未完成、结转到本年按有关规定继续使用的资金。 </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（七）结余分配：指事业单位按规定提取的职工福利基</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金、事业基金和缴纳的所得税，以及建设单位按规定应交回的基本建设竣工项目结余资金。 </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（八）年末结转和结余：指本年度或以前年度预算安排、</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因客观条件发生变化无法按原计划实施，需要延迟到以后年度按有关规定继续使用的资金。 </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（九）基本支出：指为保障机构正常运转、完成日常工作任务而发生的人员支出和公用支出。 </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（十）项目支出：指在基本支出之外为完成特定行政任务和事业发展目标所发生的支出。 </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（十一）经营支出：指事业单位在专业业务活动及其辅助活动之外开展非独立核算经营活动发生的支出。 </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十二）“三公”经费：纳入财政预决算管理的“三公”经费，是指各单位用财政拨款安排的因公出国费、公务用车购置及运行费和公务接待费。其中，因公出国费反映单位公务出国的国际旅费、国外城市间交通费、住宿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 </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十三）机关运行经费：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pPr>
        <w:spacing w:line="560" w:lineRule="exact"/>
        <w:ind w:firstLine="640" w:firstLineChars="200"/>
        <w:rPr>
          <w:rFonts w:ascii="仿宋_GB2312" w:hAnsi="宋体" w:eastAsia="仿宋_GB2312"/>
          <w:sz w:val="32"/>
          <w:szCs w:val="32"/>
        </w:rPr>
      </w:pPr>
    </w:p>
    <w:p>
      <w:pPr>
        <w:spacing w:line="560" w:lineRule="exact"/>
        <w:ind w:firstLine="640" w:firstLineChars="200"/>
        <w:rPr>
          <w:rFonts w:ascii="仿宋_GB2312" w:hAnsi="宋体" w:eastAsia="仿宋_GB2312"/>
          <w:sz w:val="32"/>
          <w:szCs w:val="32"/>
        </w:rPr>
      </w:pPr>
    </w:p>
    <w:p>
      <w:pPr>
        <w:spacing w:line="560" w:lineRule="exact"/>
        <w:ind w:firstLine="640" w:firstLineChars="200"/>
        <w:rPr>
          <w:rFonts w:ascii="仿宋_GB2312" w:hAnsi="宋体" w:eastAsia="仿宋_GB2312"/>
          <w:sz w:val="32"/>
          <w:szCs w:val="32"/>
        </w:rPr>
      </w:pPr>
    </w:p>
    <w:p>
      <w:pPr>
        <w:spacing w:line="560" w:lineRule="exact"/>
        <w:ind w:firstLine="640" w:firstLineChars="200"/>
        <w:rPr>
          <w:rFonts w:ascii="仿宋_GB2312" w:hAnsi="宋体" w:eastAsia="仿宋_GB2312"/>
          <w:sz w:val="32"/>
          <w:szCs w:val="32"/>
        </w:rPr>
      </w:pPr>
    </w:p>
    <w:bookmarkEnd w:id="0"/>
    <w:p>
      <w:pPr>
        <w:spacing w:line="560" w:lineRule="exact"/>
        <w:ind w:firstLine="640" w:firstLineChars="200"/>
        <w:rPr>
          <w:rFonts w:ascii="仿宋_GB2312" w:hAnsi="宋体" w:eastAsia="仿宋_GB2312"/>
          <w:sz w:val="32"/>
          <w:szCs w:val="32"/>
        </w:rPr>
      </w:pPr>
    </w:p>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right" w:y="1"/>
      <w:rPr>
        <w:rStyle w:val="9"/>
      </w:rPr>
    </w:pPr>
    <w:r>
      <w:rPr>
        <w:rStyle w:val="9"/>
      </w:rPr>
      <w:fldChar w:fldCharType="begin"/>
    </w:r>
    <w:r>
      <w:rPr>
        <w:rStyle w:val="9"/>
      </w:rPr>
      <w:instrText xml:space="preserve">PAGE  </w:instrText>
    </w:r>
    <w:r>
      <w:rPr>
        <w:rStyle w:val="9"/>
      </w:rPr>
      <w:fldChar w:fldCharType="separate"/>
    </w:r>
    <w:r>
      <w:rPr>
        <w:rStyle w:val="9"/>
      </w:rPr>
      <w:t>1</w:t>
    </w:r>
    <w:r>
      <w:rPr>
        <w:rStyle w:val="9"/>
      </w:rP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right" w:y="1"/>
      <w:rPr>
        <w:rStyle w:val="9"/>
      </w:rPr>
    </w:pPr>
    <w:r>
      <w:rPr>
        <w:rStyle w:val="9"/>
      </w:rPr>
      <w:fldChar w:fldCharType="begin"/>
    </w:r>
    <w:r>
      <w:rPr>
        <w:rStyle w:val="9"/>
      </w:rPr>
      <w:instrText xml:space="preserve">PAGE  </w:instrText>
    </w:r>
    <w:r>
      <w:rPr>
        <w:rStyle w:val="9"/>
      </w:rP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693ACD"/>
    <w:multiLevelType w:val="multilevel"/>
    <w:tmpl w:val="3C693ACD"/>
    <w:lvl w:ilvl="0" w:tentative="0">
      <w:start w:val="1"/>
      <w:numFmt w:val="japaneseCounting"/>
      <w:lvlText w:val="%1、"/>
      <w:lvlJc w:val="left"/>
      <w:pPr>
        <w:ind w:left="1322" w:hanging="720"/>
      </w:pPr>
      <w:rPr>
        <w:rFonts w:hint="default" w:cs="Times New Roman"/>
      </w:rPr>
    </w:lvl>
    <w:lvl w:ilvl="1" w:tentative="0">
      <w:start w:val="1"/>
      <w:numFmt w:val="lowerLetter"/>
      <w:lvlText w:val="%2)"/>
      <w:lvlJc w:val="left"/>
      <w:pPr>
        <w:ind w:left="1442" w:hanging="420"/>
      </w:pPr>
      <w:rPr>
        <w:rFonts w:cs="Times New Roman"/>
      </w:rPr>
    </w:lvl>
    <w:lvl w:ilvl="2" w:tentative="0">
      <w:start w:val="1"/>
      <w:numFmt w:val="lowerRoman"/>
      <w:lvlText w:val="%3."/>
      <w:lvlJc w:val="right"/>
      <w:pPr>
        <w:ind w:left="1862" w:hanging="420"/>
      </w:pPr>
      <w:rPr>
        <w:rFonts w:cs="Times New Roman"/>
      </w:rPr>
    </w:lvl>
    <w:lvl w:ilvl="3" w:tentative="0">
      <w:start w:val="1"/>
      <w:numFmt w:val="decimal"/>
      <w:lvlText w:val="%4."/>
      <w:lvlJc w:val="left"/>
      <w:pPr>
        <w:ind w:left="2282" w:hanging="420"/>
      </w:pPr>
      <w:rPr>
        <w:rFonts w:cs="Times New Roman"/>
      </w:rPr>
    </w:lvl>
    <w:lvl w:ilvl="4" w:tentative="0">
      <w:start w:val="1"/>
      <w:numFmt w:val="lowerLetter"/>
      <w:lvlText w:val="%5)"/>
      <w:lvlJc w:val="left"/>
      <w:pPr>
        <w:ind w:left="2702" w:hanging="420"/>
      </w:pPr>
      <w:rPr>
        <w:rFonts w:cs="Times New Roman"/>
      </w:rPr>
    </w:lvl>
    <w:lvl w:ilvl="5" w:tentative="0">
      <w:start w:val="1"/>
      <w:numFmt w:val="lowerRoman"/>
      <w:lvlText w:val="%6."/>
      <w:lvlJc w:val="right"/>
      <w:pPr>
        <w:ind w:left="3122" w:hanging="420"/>
      </w:pPr>
      <w:rPr>
        <w:rFonts w:cs="Times New Roman"/>
      </w:rPr>
    </w:lvl>
    <w:lvl w:ilvl="6" w:tentative="0">
      <w:start w:val="1"/>
      <w:numFmt w:val="decimal"/>
      <w:lvlText w:val="%7."/>
      <w:lvlJc w:val="left"/>
      <w:pPr>
        <w:ind w:left="3542" w:hanging="420"/>
      </w:pPr>
      <w:rPr>
        <w:rFonts w:cs="Times New Roman"/>
      </w:rPr>
    </w:lvl>
    <w:lvl w:ilvl="7" w:tentative="0">
      <w:start w:val="1"/>
      <w:numFmt w:val="lowerLetter"/>
      <w:lvlText w:val="%8)"/>
      <w:lvlJc w:val="left"/>
      <w:pPr>
        <w:ind w:left="3962" w:hanging="420"/>
      </w:pPr>
      <w:rPr>
        <w:rFonts w:cs="Times New Roman"/>
      </w:rPr>
    </w:lvl>
    <w:lvl w:ilvl="8" w:tentative="0">
      <w:start w:val="1"/>
      <w:numFmt w:val="lowerRoman"/>
      <w:lvlText w:val="%9."/>
      <w:lvlJc w:val="right"/>
      <w:pPr>
        <w:ind w:left="4382"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782159"/>
    <w:rsid w:val="00006A87"/>
    <w:rsid w:val="00012D74"/>
    <w:rsid w:val="00024B7F"/>
    <w:rsid w:val="00034248"/>
    <w:rsid w:val="00052FE0"/>
    <w:rsid w:val="00054384"/>
    <w:rsid w:val="000703F5"/>
    <w:rsid w:val="000843F4"/>
    <w:rsid w:val="00086A97"/>
    <w:rsid w:val="00094D69"/>
    <w:rsid w:val="000A056F"/>
    <w:rsid w:val="000A65DB"/>
    <w:rsid w:val="000A6870"/>
    <w:rsid w:val="000B08F9"/>
    <w:rsid w:val="000C21D6"/>
    <w:rsid w:val="000C3B20"/>
    <w:rsid w:val="000E250A"/>
    <w:rsid w:val="000E7FFD"/>
    <w:rsid w:val="001250CE"/>
    <w:rsid w:val="00140E78"/>
    <w:rsid w:val="00142BCE"/>
    <w:rsid w:val="00147040"/>
    <w:rsid w:val="00151463"/>
    <w:rsid w:val="00166618"/>
    <w:rsid w:val="00170582"/>
    <w:rsid w:val="001870FE"/>
    <w:rsid w:val="00191B24"/>
    <w:rsid w:val="001943AB"/>
    <w:rsid w:val="001A5829"/>
    <w:rsid w:val="001A6F10"/>
    <w:rsid w:val="001C370D"/>
    <w:rsid w:val="001D09C9"/>
    <w:rsid w:val="001D2B00"/>
    <w:rsid w:val="001D7F3A"/>
    <w:rsid w:val="001E4658"/>
    <w:rsid w:val="00201438"/>
    <w:rsid w:val="002024EB"/>
    <w:rsid w:val="00205C3B"/>
    <w:rsid w:val="002171D0"/>
    <w:rsid w:val="00242FE4"/>
    <w:rsid w:val="00262C89"/>
    <w:rsid w:val="00265B72"/>
    <w:rsid w:val="002743C3"/>
    <w:rsid w:val="002835A2"/>
    <w:rsid w:val="00287A2E"/>
    <w:rsid w:val="002A1499"/>
    <w:rsid w:val="002B069A"/>
    <w:rsid w:val="002C37F3"/>
    <w:rsid w:val="002C677C"/>
    <w:rsid w:val="002C740B"/>
    <w:rsid w:val="002D0711"/>
    <w:rsid w:val="00303B2E"/>
    <w:rsid w:val="003158E9"/>
    <w:rsid w:val="00316064"/>
    <w:rsid w:val="0031707E"/>
    <w:rsid w:val="00333969"/>
    <w:rsid w:val="003472C5"/>
    <w:rsid w:val="00365EF9"/>
    <w:rsid w:val="003707B5"/>
    <w:rsid w:val="003718C7"/>
    <w:rsid w:val="003B0831"/>
    <w:rsid w:val="003B594E"/>
    <w:rsid w:val="003C2E54"/>
    <w:rsid w:val="003C6591"/>
    <w:rsid w:val="003D0C72"/>
    <w:rsid w:val="003D15A1"/>
    <w:rsid w:val="003E6A8C"/>
    <w:rsid w:val="00402A65"/>
    <w:rsid w:val="00406AB0"/>
    <w:rsid w:val="00406F8C"/>
    <w:rsid w:val="004150A2"/>
    <w:rsid w:val="00417715"/>
    <w:rsid w:val="0043072D"/>
    <w:rsid w:val="0043342B"/>
    <w:rsid w:val="00434EEE"/>
    <w:rsid w:val="0045212A"/>
    <w:rsid w:val="00455DF3"/>
    <w:rsid w:val="00465DC3"/>
    <w:rsid w:val="00473EE4"/>
    <w:rsid w:val="004743B3"/>
    <w:rsid w:val="00486188"/>
    <w:rsid w:val="00487059"/>
    <w:rsid w:val="00497855"/>
    <w:rsid w:val="004A28B1"/>
    <w:rsid w:val="004B25BB"/>
    <w:rsid w:val="004D2787"/>
    <w:rsid w:val="004D48D7"/>
    <w:rsid w:val="004D65D7"/>
    <w:rsid w:val="004D6F93"/>
    <w:rsid w:val="004E162E"/>
    <w:rsid w:val="004F25F9"/>
    <w:rsid w:val="004F7183"/>
    <w:rsid w:val="0050291C"/>
    <w:rsid w:val="00515709"/>
    <w:rsid w:val="005272D8"/>
    <w:rsid w:val="00532879"/>
    <w:rsid w:val="00547CA3"/>
    <w:rsid w:val="00552B99"/>
    <w:rsid w:val="00565025"/>
    <w:rsid w:val="005746C1"/>
    <w:rsid w:val="00592401"/>
    <w:rsid w:val="005A2E6D"/>
    <w:rsid w:val="005A6CC5"/>
    <w:rsid w:val="005C24CE"/>
    <w:rsid w:val="005D008D"/>
    <w:rsid w:val="005D5345"/>
    <w:rsid w:val="005D5F98"/>
    <w:rsid w:val="005D6922"/>
    <w:rsid w:val="005E5284"/>
    <w:rsid w:val="005F5D39"/>
    <w:rsid w:val="005F70AA"/>
    <w:rsid w:val="00601F82"/>
    <w:rsid w:val="00604FB3"/>
    <w:rsid w:val="0061786C"/>
    <w:rsid w:val="00624C57"/>
    <w:rsid w:val="00634F12"/>
    <w:rsid w:val="00642F1B"/>
    <w:rsid w:val="006537AC"/>
    <w:rsid w:val="00670BCE"/>
    <w:rsid w:val="00672B4C"/>
    <w:rsid w:val="00674D20"/>
    <w:rsid w:val="006773BD"/>
    <w:rsid w:val="00696752"/>
    <w:rsid w:val="006A1621"/>
    <w:rsid w:val="006A2219"/>
    <w:rsid w:val="006A56FC"/>
    <w:rsid w:val="006A7356"/>
    <w:rsid w:val="006D4B96"/>
    <w:rsid w:val="006F1159"/>
    <w:rsid w:val="006F13E9"/>
    <w:rsid w:val="006F3090"/>
    <w:rsid w:val="006F3AD3"/>
    <w:rsid w:val="006F7FA8"/>
    <w:rsid w:val="007226E2"/>
    <w:rsid w:val="007226FB"/>
    <w:rsid w:val="00737A3E"/>
    <w:rsid w:val="0075560D"/>
    <w:rsid w:val="00766892"/>
    <w:rsid w:val="007747C2"/>
    <w:rsid w:val="00780CA6"/>
    <w:rsid w:val="00782159"/>
    <w:rsid w:val="00793D15"/>
    <w:rsid w:val="007978CD"/>
    <w:rsid w:val="007A2BDC"/>
    <w:rsid w:val="007C089F"/>
    <w:rsid w:val="007C73A0"/>
    <w:rsid w:val="007E31B3"/>
    <w:rsid w:val="008104D1"/>
    <w:rsid w:val="00815033"/>
    <w:rsid w:val="008236AA"/>
    <w:rsid w:val="00842279"/>
    <w:rsid w:val="00843EB6"/>
    <w:rsid w:val="00847706"/>
    <w:rsid w:val="00854186"/>
    <w:rsid w:val="00860D0E"/>
    <w:rsid w:val="008640A7"/>
    <w:rsid w:val="008664F8"/>
    <w:rsid w:val="008718D0"/>
    <w:rsid w:val="008747D9"/>
    <w:rsid w:val="00877032"/>
    <w:rsid w:val="00880D0D"/>
    <w:rsid w:val="008872A2"/>
    <w:rsid w:val="008924A5"/>
    <w:rsid w:val="00895A64"/>
    <w:rsid w:val="00895BE7"/>
    <w:rsid w:val="008A37B3"/>
    <w:rsid w:val="008B02AA"/>
    <w:rsid w:val="008C0297"/>
    <w:rsid w:val="008C5ABD"/>
    <w:rsid w:val="008C6673"/>
    <w:rsid w:val="008D28A9"/>
    <w:rsid w:val="008E26A2"/>
    <w:rsid w:val="009078E5"/>
    <w:rsid w:val="00910498"/>
    <w:rsid w:val="00921F8C"/>
    <w:rsid w:val="009272AD"/>
    <w:rsid w:val="009323A8"/>
    <w:rsid w:val="00943DFC"/>
    <w:rsid w:val="009472B0"/>
    <w:rsid w:val="00954B4B"/>
    <w:rsid w:val="00974B81"/>
    <w:rsid w:val="00986E5F"/>
    <w:rsid w:val="009A7D21"/>
    <w:rsid w:val="009C453B"/>
    <w:rsid w:val="009C7F6B"/>
    <w:rsid w:val="009E6365"/>
    <w:rsid w:val="009F1B75"/>
    <w:rsid w:val="009F39C7"/>
    <w:rsid w:val="009F6D25"/>
    <w:rsid w:val="00A05C61"/>
    <w:rsid w:val="00A32422"/>
    <w:rsid w:val="00A337D1"/>
    <w:rsid w:val="00A3418E"/>
    <w:rsid w:val="00A407D1"/>
    <w:rsid w:val="00A56C87"/>
    <w:rsid w:val="00A63C42"/>
    <w:rsid w:val="00A8645E"/>
    <w:rsid w:val="00A901B2"/>
    <w:rsid w:val="00A9528E"/>
    <w:rsid w:val="00AA1759"/>
    <w:rsid w:val="00AA3003"/>
    <w:rsid w:val="00AA5B36"/>
    <w:rsid w:val="00AA7567"/>
    <w:rsid w:val="00AC139B"/>
    <w:rsid w:val="00AD7784"/>
    <w:rsid w:val="00AF185F"/>
    <w:rsid w:val="00B24563"/>
    <w:rsid w:val="00B635BA"/>
    <w:rsid w:val="00B919A9"/>
    <w:rsid w:val="00BB2497"/>
    <w:rsid w:val="00BB372B"/>
    <w:rsid w:val="00BB7B3E"/>
    <w:rsid w:val="00BC5904"/>
    <w:rsid w:val="00C15174"/>
    <w:rsid w:val="00C26DD9"/>
    <w:rsid w:val="00C337C1"/>
    <w:rsid w:val="00C4155A"/>
    <w:rsid w:val="00C42AE9"/>
    <w:rsid w:val="00C45F21"/>
    <w:rsid w:val="00C53603"/>
    <w:rsid w:val="00C5370F"/>
    <w:rsid w:val="00C605BD"/>
    <w:rsid w:val="00C61DC5"/>
    <w:rsid w:val="00C62423"/>
    <w:rsid w:val="00C86F13"/>
    <w:rsid w:val="00C955CC"/>
    <w:rsid w:val="00CB3117"/>
    <w:rsid w:val="00CE1862"/>
    <w:rsid w:val="00CE37ED"/>
    <w:rsid w:val="00CF6A89"/>
    <w:rsid w:val="00D03C53"/>
    <w:rsid w:val="00D36F1C"/>
    <w:rsid w:val="00D43D1B"/>
    <w:rsid w:val="00D4613F"/>
    <w:rsid w:val="00D5318C"/>
    <w:rsid w:val="00D554FC"/>
    <w:rsid w:val="00D6171D"/>
    <w:rsid w:val="00D664DA"/>
    <w:rsid w:val="00D81E3D"/>
    <w:rsid w:val="00D87528"/>
    <w:rsid w:val="00DA057C"/>
    <w:rsid w:val="00DA16BE"/>
    <w:rsid w:val="00DB13AB"/>
    <w:rsid w:val="00DB2FC5"/>
    <w:rsid w:val="00DB45CE"/>
    <w:rsid w:val="00DC13C4"/>
    <w:rsid w:val="00DE344D"/>
    <w:rsid w:val="00DF33B8"/>
    <w:rsid w:val="00DF757C"/>
    <w:rsid w:val="00E21669"/>
    <w:rsid w:val="00E23833"/>
    <w:rsid w:val="00E2611C"/>
    <w:rsid w:val="00E32147"/>
    <w:rsid w:val="00E339F2"/>
    <w:rsid w:val="00E52E1E"/>
    <w:rsid w:val="00E62D33"/>
    <w:rsid w:val="00E774D0"/>
    <w:rsid w:val="00E803C0"/>
    <w:rsid w:val="00E8388E"/>
    <w:rsid w:val="00EA08DF"/>
    <w:rsid w:val="00EA5F52"/>
    <w:rsid w:val="00EC159A"/>
    <w:rsid w:val="00EC1F82"/>
    <w:rsid w:val="00EC282F"/>
    <w:rsid w:val="00EC33FE"/>
    <w:rsid w:val="00ED7C8E"/>
    <w:rsid w:val="00EE2E07"/>
    <w:rsid w:val="00EE53FC"/>
    <w:rsid w:val="00EE5733"/>
    <w:rsid w:val="00EE5B15"/>
    <w:rsid w:val="00EE66B1"/>
    <w:rsid w:val="00EF3B2C"/>
    <w:rsid w:val="00EF7B17"/>
    <w:rsid w:val="00EF7C00"/>
    <w:rsid w:val="00F0364D"/>
    <w:rsid w:val="00F06CB4"/>
    <w:rsid w:val="00F16C5D"/>
    <w:rsid w:val="00F453E0"/>
    <w:rsid w:val="00F552DA"/>
    <w:rsid w:val="00F72753"/>
    <w:rsid w:val="00F81C9E"/>
    <w:rsid w:val="00F820FC"/>
    <w:rsid w:val="00FA08FE"/>
    <w:rsid w:val="00FC26F0"/>
    <w:rsid w:val="00FE45D5"/>
    <w:rsid w:val="00FF5D03"/>
    <w:rsid w:val="00FF782A"/>
    <w:rsid w:val="5DEF1411"/>
    <w:rsid w:val="668B15F8"/>
    <w:rsid w:val="67AC51BC"/>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Date"/>
    <w:basedOn w:val="1"/>
    <w:next w:val="1"/>
    <w:link w:val="10"/>
    <w:qFormat/>
    <w:uiPriority w:val="99"/>
    <w:pPr>
      <w:ind w:left="100" w:leftChars="2500"/>
    </w:pPr>
  </w:style>
  <w:style w:type="paragraph" w:styleId="3">
    <w:name w:val="Balloon Text"/>
    <w:basedOn w:val="1"/>
    <w:link w:val="11"/>
    <w:qFormat/>
    <w:uiPriority w:val="99"/>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widowControl/>
      <w:spacing w:before="100" w:beforeAutospacing="1" w:after="240"/>
      <w:jc w:val="left"/>
    </w:pPr>
    <w:rPr>
      <w:rFonts w:ascii="宋体" w:hAnsi="宋体" w:cs="宋体"/>
      <w:kern w:val="0"/>
      <w:sz w:val="24"/>
    </w:rPr>
  </w:style>
  <w:style w:type="character" w:styleId="9">
    <w:name w:val="page number"/>
    <w:qFormat/>
    <w:uiPriority w:val="99"/>
    <w:rPr>
      <w:rFonts w:cs="Times New Roman"/>
    </w:rPr>
  </w:style>
  <w:style w:type="character" w:customStyle="1" w:styleId="10">
    <w:name w:val="日期 Char"/>
    <w:link w:val="2"/>
    <w:semiHidden/>
    <w:qFormat/>
    <w:locked/>
    <w:uiPriority w:val="99"/>
    <w:rPr>
      <w:rFonts w:cs="Times New Roman"/>
      <w:sz w:val="24"/>
      <w:szCs w:val="24"/>
    </w:rPr>
  </w:style>
  <w:style w:type="character" w:customStyle="1" w:styleId="11">
    <w:name w:val="批注框文本 Char"/>
    <w:link w:val="3"/>
    <w:qFormat/>
    <w:locked/>
    <w:uiPriority w:val="99"/>
    <w:rPr>
      <w:rFonts w:cs="Times New Roman"/>
      <w:kern w:val="2"/>
      <w:sz w:val="18"/>
    </w:rPr>
  </w:style>
  <w:style w:type="character" w:customStyle="1" w:styleId="12">
    <w:name w:val="页脚 Char"/>
    <w:link w:val="4"/>
    <w:qFormat/>
    <w:locked/>
    <w:uiPriority w:val="99"/>
    <w:rPr>
      <w:rFonts w:cs="Times New Roman"/>
      <w:kern w:val="2"/>
      <w:sz w:val="18"/>
    </w:rPr>
  </w:style>
  <w:style w:type="character" w:customStyle="1" w:styleId="13">
    <w:name w:val="页眉 Char"/>
    <w:link w:val="5"/>
    <w:qFormat/>
    <w:locked/>
    <w:uiPriority w:val="99"/>
    <w:rPr>
      <w:rFonts w:cs="Times New Roman"/>
      <w:kern w:val="2"/>
      <w:sz w:val="18"/>
    </w:rPr>
  </w:style>
  <w:style w:type="paragraph" w:customStyle="1" w:styleId="14">
    <w:name w:val="notice_title"/>
    <w:basedOn w:val="1"/>
    <w:qFormat/>
    <w:uiPriority w:val="99"/>
    <w:pPr>
      <w:widowControl/>
      <w:spacing w:after="225"/>
      <w:jc w:val="center"/>
    </w:pPr>
    <w:rPr>
      <w:rFonts w:ascii="宋体" w:hAnsi="宋体" w:cs="宋体"/>
      <w:b/>
      <w:bCs/>
      <w:color w:val="771325"/>
      <w:kern w:val="0"/>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8</Pages>
  <Words>507</Words>
  <Characters>2890</Characters>
  <Lines>24</Lines>
  <Paragraphs>6</Paragraphs>
  <TotalTime>144</TotalTime>
  <ScaleCrop>false</ScaleCrop>
  <LinksUpToDate>false</LinksUpToDate>
  <CharactersWithSpaces>3391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2016-05-30T05:04:00Z</dcterms:created>
  <dc:creator>许梦如</dc:creator>
  <cp:lastModifiedBy>Administrator</cp:lastModifiedBy>
  <cp:lastPrinted>2015-08-28T07:57:00Z</cp:lastPrinted>
  <dcterms:modified xsi:type="dcterms:W3CDTF">2023-11-24T09:06:32Z</dcterms:modified>
  <dc:title>喀什地区部门决算和三公经费</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