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sz w:val="32"/>
          <w:szCs w:val="32"/>
        </w:rPr>
        <w:t>附件1：</w:t>
      </w:r>
    </w:p>
    <w:p>
      <w:pPr>
        <w:spacing w:line="560" w:lineRule="exact"/>
        <w:jc w:val="center"/>
        <w:rPr>
          <w:rFonts w:ascii="仿宋_GB2312" w:hAnsi="宋体" w:eastAsia="仿宋_GB2312"/>
          <w:b/>
          <w:sz w:val="44"/>
          <w:szCs w:val="44"/>
        </w:rPr>
      </w:pPr>
      <w:r>
        <w:rPr>
          <w:rFonts w:hint="eastAsia" w:ascii="仿宋_GB2312" w:hAnsi="宋体" w:eastAsia="仿宋_GB2312"/>
          <w:b/>
          <w:sz w:val="44"/>
          <w:szCs w:val="44"/>
        </w:rPr>
        <w:t xml:space="preserve">   2016年喀什地区叶城县农业局部门决算说明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 xml:space="preserve"> </w:t>
      </w:r>
    </w:p>
    <w:p>
      <w:pPr>
        <w:spacing w:line="560" w:lineRule="exact"/>
        <w:ind w:firstLine="643" w:firstLineChars="200"/>
        <w:jc w:val="center"/>
        <w:rPr>
          <w:rFonts w:ascii="仿宋_GB2312" w:eastAsia="仿宋_GB2312" w:cs="??_GB2312"/>
          <w:b/>
          <w:bCs/>
          <w:sz w:val="32"/>
          <w:szCs w:val="32"/>
        </w:rPr>
      </w:pPr>
      <w:r>
        <w:rPr>
          <w:rFonts w:hint="eastAsia" w:ascii="仿宋_GB2312" w:eastAsia="仿宋_GB2312" w:cs="??_GB2312"/>
          <w:b/>
          <w:bCs/>
          <w:sz w:val="32"/>
          <w:szCs w:val="32"/>
        </w:rPr>
        <w:t>第一部分 单位概述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一、部门基本情况：</w:t>
      </w:r>
    </w:p>
    <w:p>
      <w:pPr>
        <w:spacing w:line="560" w:lineRule="exact"/>
        <w:ind w:firstLine="640" w:firstLineChars="200"/>
        <w:rPr>
          <w:rFonts w:ascii="仿宋_GB2312" w:eastAsia="仿宋_GB2312"/>
          <w:sz w:val="32"/>
          <w:szCs w:val="32"/>
        </w:rPr>
      </w:pPr>
      <w:r>
        <w:rPr>
          <w:rFonts w:hint="eastAsia" w:ascii="仿宋_GB2312" w:hAnsi="宋体" w:eastAsia="仿宋_GB2312"/>
          <w:sz w:val="32"/>
          <w:szCs w:val="32"/>
        </w:rPr>
        <w:t>单位性质为行政单位 ，全额拨款，执行会计制度为行政、会计制度。独立编制机构1个，独立编制机构与上年无变动。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eastAsia="仿宋_GB2312"/>
          <w:sz w:val="32"/>
          <w:szCs w:val="32"/>
        </w:rPr>
      </w:pPr>
      <w:r>
        <w:rPr>
          <w:rFonts w:hint="eastAsia" w:ascii="仿宋_GB2312" w:hAnsi="宋体" w:eastAsia="仿宋_GB2312"/>
          <w:sz w:val="32"/>
          <w:szCs w:val="32"/>
        </w:rPr>
        <w:t>一是贯彻执行党和国家有关农业的方针，政策、法律、法规、拟定叶城县农村经济发展战略，组织落实重大经济政策，技术政策和产业政策；研究制定主管产业的有关行政规章制度，并组织实施。</w:t>
      </w:r>
    </w:p>
    <w:p>
      <w:pPr>
        <w:spacing w:line="560" w:lineRule="exact"/>
        <w:ind w:firstLine="640" w:firstLineChars="200"/>
        <w:rPr>
          <w:rFonts w:ascii="仿宋_GB2312" w:eastAsia="仿宋_GB2312"/>
          <w:sz w:val="32"/>
          <w:szCs w:val="32"/>
        </w:rPr>
      </w:pPr>
      <w:r>
        <w:rPr>
          <w:rFonts w:hint="eastAsia" w:ascii="仿宋_GB2312" w:hAnsi="宋体" w:eastAsia="仿宋_GB2312"/>
          <w:sz w:val="32"/>
          <w:szCs w:val="32"/>
        </w:rPr>
        <w:t>二是研究提出深化经济体制改革的意见，指导农村经济组织的发展，指导农村联产承包责任制和比层经营体制的完善；指导乡村集体经济组织的管理工作；按规定负责有关农业建设项目和管理，调控和管理农业转向发展资金。</w:t>
      </w:r>
    </w:p>
    <w:p>
      <w:pPr>
        <w:spacing w:line="560" w:lineRule="exact"/>
        <w:ind w:firstLine="640" w:firstLineChars="200"/>
        <w:rPr>
          <w:rFonts w:ascii="仿宋_GB2312" w:eastAsia="仿宋_GB2312"/>
          <w:sz w:val="32"/>
          <w:szCs w:val="32"/>
        </w:rPr>
      </w:pPr>
      <w:r>
        <w:rPr>
          <w:rFonts w:hint="eastAsia" w:ascii="仿宋_GB2312" w:hAnsi="宋体" w:eastAsia="仿宋_GB2312"/>
          <w:sz w:val="32"/>
          <w:szCs w:val="32"/>
        </w:rPr>
        <w:t>三是研究制定主管产业的发展规划、计划并监督实施，负责产业结构调整，资源配置和产业间的综合平衡。</w:t>
      </w:r>
    </w:p>
    <w:p>
      <w:pPr>
        <w:spacing w:line="560" w:lineRule="exact"/>
        <w:ind w:firstLine="643" w:firstLineChars="200"/>
        <w:rPr>
          <w:rFonts w:ascii="仿宋_GB2312" w:eastAsia="仿宋_GB2312"/>
          <w:color w:val="000000"/>
          <w:sz w:val="32"/>
          <w:szCs w:val="32"/>
        </w:rPr>
      </w:pPr>
      <w:r>
        <w:rPr>
          <w:rFonts w:hint="eastAsia" w:ascii="仿宋_GB2312" w:hAnsi="宋体" w:eastAsia="仿宋_GB2312"/>
          <w:b/>
          <w:sz w:val="32"/>
          <w:szCs w:val="32"/>
        </w:rPr>
        <w:t>二</w:t>
      </w:r>
      <w:r>
        <w:rPr>
          <w:rFonts w:hint="eastAsia" w:ascii="仿宋_GB2312" w:hAnsi="宋体" w:eastAsia="仿宋_GB2312"/>
          <w:sz w:val="32"/>
          <w:szCs w:val="32"/>
        </w:rPr>
        <w:t>、</w:t>
      </w:r>
      <w:r>
        <w:rPr>
          <w:rFonts w:hint="eastAsia" w:ascii="仿宋_GB2312" w:hAnsi="宋体" w:eastAsia="仿宋_GB2312" w:cs="宋体"/>
          <w:sz w:val="32"/>
          <w:szCs w:val="32"/>
        </w:rPr>
        <w:t>、</w:t>
      </w:r>
      <w:r>
        <w:rPr>
          <w:rFonts w:hint="eastAsia" w:ascii="仿宋_GB2312" w:hAnsi="宋体" w:eastAsia="仿宋_GB2312"/>
          <w:sz w:val="32"/>
          <w:szCs w:val="32"/>
        </w:rPr>
        <w:t>机构人员情况：编制人数41个，其中：行政编制10人，工勤人员编制1人，参照公务员管理的事业单位人员编制2人，全额拨款事业单位人员编制8人 ，</w:t>
      </w:r>
      <w:r>
        <w:rPr>
          <w:rFonts w:hint="eastAsia" w:ascii="仿宋_GB2312" w:hAnsi="宋体" w:eastAsia="仿宋_GB2312"/>
          <w:color w:val="000000"/>
          <w:sz w:val="32"/>
          <w:szCs w:val="32"/>
        </w:rPr>
        <w:t>纳入叶城县良种繁育场人员自收自支事业编制21人。年末实有人数39人，属于一般公共预算财政拨款开支15人</w:t>
      </w:r>
      <w:r>
        <w:rPr>
          <w:rFonts w:hint="eastAsia" w:ascii="仿宋_GB2312" w:eastAsia="仿宋_GB2312"/>
          <w:color w:val="000000"/>
          <w:sz w:val="32"/>
          <w:szCs w:val="32"/>
        </w:rPr>
        <w:t>,</w:t>
      </w:r>
      <w:r>
        <w:rPr>
          <w:rFonts w:hint="eastAsia" w:ascii="仿宋_GB2312" w:hAnsi="宋体" w:eastAsia="仿宋_GB2312"/>
          <w:color w:val="000000"/>
          <w:sz w:val="32"/>
          <w:szCs w:val="32"/>
        </w:rPr>
        <w:t>属于一般公共预算财政补助开支7人，经费自理在叶城县良种繁育场自收自支17人。2015年退休人数59人，2016年无退休人员，比上年减少了59人，实施机关事业单位养老保险改革退休人员纳入社保局统一管理。</w:t>
      </w:r>
    </w:p>
    <w:p>
      <w:pPr>
        <w:spacing w:line="560" w:lineRule="exact"/>
        <w:rPr>
          <w:rFonts w:ascii="仿宋_GB2312" w:eastAsia="仿宋_GB2312"/>
          <w:sz w:val="32"/>
          <w:szCs w:val="32"/>
        </w:rPr>
      </w:pPr>
      <w:bookmarkStart w:id="0" w:name="YS060102"/>
      <w:r>
        <w:rPr>
          <w:rFonts w:hint="eastAsia" w:ascii="仿宋_GB2312" w:eastAsia="仿宋_GB2312" w:cs="??_GB2312"/>
          <w:sz w:val="32"/>
          <w:szCs w:val="32"/>
        </w:rPr>
        <w:t xml:space="preserve">   三、决算单位构成</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纳入叶城县农业局2016年部门决算编制范围的单位名单见下表：</w:t>
      </w:r>
    </w:p>
    <w:tbl>
      <w:tblPr>
        <w:tblStyle w:val="7"/>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cs="??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hAnsi="宋体" w:eastAsia="仿宋_GB2312"/>
                <w:sz w:val="32"/>
                <w:szCs w:val="32"/>
              </w:rPr>
              <w:t>叶城县农业局</w:t>
            </w:r>
          </w:p>
        </w:tc>
        <w:tc>
          <w:tcPr>
            <w:tcW w:w="2841" w:type="dxa"/>
          </w:tcPr>
          <w:p>
            <w:pPr>
              <w:spacing w:line="560" w:lineRule="exact"/>
              <w:rPr>
                <w:rFonts w:ascii="仿宋_GB2312" w:eastAsia="仿宋_GB2312"/>
                <w:sz w:val="32"/>
                <w:szCs w:val="32"/>
              </w:rPr>
            </w:pPr>
          </w:p>
        </w:tc>
      </w:tr>
    </w:tbl>
    <w:p>
      <w:pPr>
        <w:spacing w:line="560" w:lineRule="exact"/>
        <w:ind w:firstLine="480" w:firstLineChars="150"/>
        <w:rPr>
          <w:rFonts w:ascii="仿宋_GB2312" w:eastAsia="仿宋_GB2312" w:cs="??_GB2312"/>
          <w:sz w:val="32"/>
          <w:szCs w:val="32"/>
        </w:rPr>
      </w:pPr>
      <w:r>
        <w:rPr>
          <w:rFonts w:hint="eastAsia" w:ascii="仿宋_GB2312" w:eastAsia="仿宋_GB2312" w:cs="??_GB2312"/>
          <w:sz w:val="32"/>
          <w:szCs w:val="32"/>
        </w:rPr>
        <w:t>四、机构设置</w:t>
      </w:r>
    </w:p>
    <w:p>
      <w:pPr>
        <w:spacing w:line="560" w:lineRule="exact"/>
        <w:ind w:firstLine="480" w:firstLineChars="150"/>
        <w:rPr>
          <w:rFonts w:ascii="仿宋_GB2312" w:eastAsia="仿宋_GB2312" w:cs="??_GB2312"/>
          <w:sz w:val="32"/>
          <w:szCs w:val="32"/>
        </w:rPr>
      </w:pPr>
      <w:r>
        <w:rPr>
          <w:rFonts w:hint="eastAsia" w:ascii="仿宋_GB2312" w:eastAsia="仿宋_GB2312" w:cs="??_GB2312"/>
          <w:sz w:val="32"/>
          <w:szCs w:val="32"/>
        </w:rPr>
        <w:t>根据职责，纳入2016年部门预算编制范围的有4个内设机构。</w:t>
      </w:r>
    </w:p>
    <w:p>
      <w:pPr>
        <w:spacing w:line="560" w:lineRule="exact"/>
        <w:rPr>
          <w:rFonts w:ascii="仿宋_GB2312" w:eastAsia="仿宋_GB2312" w:cs="??_GB2312"/>
          <w:sz w:val="32"/>
          <w:szCs w:val="32"/>
        </w:rPr>
      </w:pPr>
      <w:r>
        <w:rPr>
          <w:rFonts w:hint="eastAsia" w:ascii="仿宋_GB2312" w:eastAsia="仿宋_GB2312" w:cs="??_GB2312"/>
          <w:sz w:val="32"/>
          <w:szCs w:val="32"/>
        </w:rPr>
        <w:t>1、办公室</w:t>
      </w:r>
    </w:p>
    <w:p>
      <w:pPr>
        <w:spacing w:line="560" w:lineRule="exact"/>
        <w:rPr>
          <w:rFonts w:ascii="仿宋_GB2312" w:eastAsia="仿宋_GB2312" w:cs="??_GB2312"/>
          <w:sz w:val="32"/>
          <w:szCs w:val="32"/>
        </w:rPr>
      </w:pPr>
      <w:r>
        <w:rPr>
          <w:rFonts w:hint="eastAsia" w:ascii="仿宋_GB2312" w:eastAsia="仿宋_GB2312" w:cs="??_GB2312"/>
          <w:sz w:val="32"/>
          <w:szCs w:val="32"/>
        </w:rPr>
        <w:t>2、种植业管理股</w:t>
      </w:r>
    </w:p>
    <w:p>
      <w:pPr>
        <w:spacing w:line="560" w:lineRule="exact"/>
        <w:rPr>
          <w:rFonts w:ascii="仿宋_GB2312" w:eastAsia="仿宋_GB2312" w:cs="??_GB2312"/>
          <w:sz w:val="32"/>
          <w:szCs w:val="32"/>
        </w:rPr>
      </w:pPr>
      <w:r>
        <w:rPr>
          <w:rFonts w:hint="eastAsia" w:ascii="仿宋_GB2312" w:eastAsia="仿宋_GB2312" w:cs="??_GB2312"/>
          <w:sz w:val="32"/>
          <w:szCs w:val="32"/>
        </w:rPr>
        <w:t>3、农村经济体制与法规股</w:t>
      </w:r>
    </w:p>
    <w:p>
      <w:pPr>
        <w:spacing w:line="560" w:lineRule="exact"/>
        <w:rPr>
          <w:rFonts w:ascii="仿宋_GB2312" w:eastAsia="仿宋_GB2312" w:cs="??_GB2312"/>
          <w:sz w:val="32"/>
          <w:szCs w:val="32"/>
        </w:rPr>
      </w:pPr>
      <w:r>
        <w:rPr>
          <w:rFonts w:hint="eastAsia" w:ascii="仿宋_GB2312" w:eastAsia="仿宋_GB2312" w:cs="??_GB2312"/>
          <w:sz w:val="32"/>
          <w:szCs w:val="32"/>
        </w:rPr>
        <w:t>4、乡镇企业股（农业产业化发展、农产品加工业）</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_GB2312"/>
          <w:b/>
          <w:bCs/>
          <w:sz w:val="32"/>
          <w:szCs w:val="32"/>
        </w:rPr>
        <w:t>第二部分   叶城县农业局2016年度部门决算报表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jc w:val="center"/>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r>
        <w:rPr>
          <w:rFonts w:hint="eastAsia" w:ascii="仿宋_GB2312" w:hAnsi="宋体" w:eastAsia="仿宋_GB2312" w:cs="??_GB2312"/>
          <w:b/>
          <w:bCs/>
          <w:sz w:val="32"/>
          <w:szCs w:val="32"/>
        </w:rPr>
        <w:t>第三部分  叶城县农业局2016年度部门决算情况说明</w:t>
      </w:r>
    </w:p>
    <w:bookmarkEnd w:id="0"/>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_GB2312"/>
          <w:sz w:val="32"/>
          <w:szCs w:val="32"/>
        </w:rPr>
        <w:t>一、部门收入支出决算总体情况说明：</w:t>
      </w:r>
    </w:p>
    <w:p>
      <w:pPr>
        <w:snapToGrid w:val="0"/>
        <w:spacing w:line="560" w:lineRule="exact"/>
        <w:ind w:left="147" w:leftChars="70" w:firstLine="480" w:firstLineChars="150"/>
        <w:rPr>
          <w:rFonts w:ascii="仿宋_GB2312" w:hAnsi="宋体" w:eastAsia="仿宋_GB2312" w:cs="??_GB2312"/>
          <w:sz w:val="32"/>
          <w:szCs w:val="32"/>
        </w:rPr>
      </w:pPr>
      <w:r>
        <w:rPr>
          <w:rFonts w:hint="eastAsia" w:ascii="仿宋_GB2312" w:hAnsi="宋体" w:eastAsia="仿宋_GB2312"/>
          <w:sz w:val="32"/>
          <w:szCs w:val="32"/>
        </w:rPr>
        <w:t>2016年全年收入合计35855092.41元，</w:t>
      </w:r>
      <w:r>
        <w:rPr>
          <w:rFonts w:hint="eastAsia" w:ascii="仿宋_GB2312" w:hAnsi="宋体" w:eastAsia="仿宋_GB2312" w:cs="??_GB2312"/>
          <w:sz w:val="32"/>
          <w:szCs w:val="32"/>
        </w:rPr>
        <w:t>支出</w:t>
      </w:r>
      <w:r>
        <w:rPr>
          <w:rFonts w:hint="eastAsia" w:ascii="仿宋_GB2312" w:hAnsi="宋体" w:eastAsia="仿宋_GB2312"/>
          <w:sz w:val="32"/>
          <w:szCs w:val="32"/>
        </w:rPr>
        <w:t>合计35855092.41元，</w:t>
      </w:r>
      <w:r>
        <w:rPr>
          <w:rFonts w:hint="eastAsia" w:ascii="仿宋_GB2312" w:hAnsi="宋体" w:eastAsia="仿宋_GB2312" w:cs="??_GB2312"/>
          <w:sz w:val="32"/>
          <w:szCs w:val="32"/>
        </w:rPr>
        <w:t>其中基本支出7844605.28元，项目支出28010487.13元。</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_GB2312"/>
          <w:sz w:val="32"/>
          <w:szCs w:val="32"/>
        </w:rPr>
        <w:t>2016年本年收入合计</w:t>
      </w:r>
      <w:r>
        <w:rPr>
          <w:rFonts w:hint="eastAsia" w:ascii="仿宋_GB2312" w:hAnsi="宋体" w:eastAsia="仿宋_GB2312"/>
          <w:sz w:val="32"/>
          <w:szCs w:val="32"/>
        </w:rPr>
        <w:t>35855092.41</w:t>
      </w:r>
      <w:r>
        <w:rPr>
          <w:rFonts w:hint="eastAsia" w:ascii="仿宋_GB2312" w:hAnsi="宋体" w:eastAsia="仿宋_GB2312" w:cs="??_GB2312"/>
          <w:sz w:val="32"/>
          <w:szCs w:val="32"/>
        </w:rPr>
        <w:t>元，其中：财政拨款收入33915573.41元，无事业收入，无经营收入，其他收入1939519元（援疆项目资金）。</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_GB2312"/>
          <w:sz w:val="32"/>
          <w:szCs w:val="32"/>
        </w:rPr>
        <w:t>三、支出情况说明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_GB2312"/>
          <w:sz w:val="32"/>
          <w:szCs w:val="32"/>
        </w:rPr>
        <w:t>本年支出合计</w:t>
      </w:r>
      <w:r>
        <w:rPr>
          <w:rFonts w:hint="eastAsia" w:ascii="仿宋_GB2312" w:hAnsi="宋体" w:eastAsia="仿宋_GB2312"/>
          <w:sz w:val="32"/>
          <w:szCs w:val="32"/>
        </w:rPr>
        <w:t>35855092.41</w:t>
      </w:r>
      <w:r>
        <w:rPr>
          <w:rFonts w:hint="eastAsia" w:ascii="仿宋_GB2312" w:hAnsi="宋体" w:eastAsia="仿宋_GB2312" w:cs="??_GB2312"/>
          <w:sz w:val="32"/>
          <w:szCs w:val="32"/>
        </w:rPr>
        <w:t>元，其中：基本支出7844605.28元，项目支出28010487.13元，无经营支出。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_GB2312"/>
          <w:color w:val="000000"/>
          <w:sz w:val="32"/>
          <w:szCs w:val="32"/>
        </w:rPr>
        <w:t>五、“三公”经费、会议费和培训费支出情况说明</w:t>
      </w:r>
    </w:p>
    <w:p>
      <w:pPr>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_GB2312"/>
          <w:color w:val="000000"/>
          <w:sz w:val="32"/>
          <w:szCs w:val="32"/>
        </w:rPr>
        <w:t>2016年“三公”经费实际支出54890元，其中：因公出国费用0批次，共组团0批次0人次,无出国事由；公务接待费9890元，共接待14批次49人次；无公务用车购置，年末公务用车保有量为3辆；公务用车维护费45000元。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“三公”经费较上年相比少支出</w:t>
      </w:r>
      <w:r>
        <w:rPr>
          <w:rFonts w:hint="eastAsia" w:ascii="仿宋_GB2312" w:hAnsi="宋体" w:eastAsia="仿宋_GB2312" w:cs="??_GB2312"/>
          <w:sz w:val="32"/>
          <w:szCs w:val="32"/>
        </w:rPr>
        <w:t>29788</w:t>
      </w:r>
      <w:r>
        <w:rPr>
          <w:rFonts w:hint="eastAsia" w:ascii="仿宋_GB2312" w:hAnsi="宋体" w:eastAsia="仿宋_GB2312" w:cs="仿宋_GB2312"/>
          <w:sz w:val="32"/>
          <w:szCs w:val="32"/>
        </w:rPr>
        <w:t>元，其中：因公出国费用多（少）支0元；公务接待费少支出</w:t>
      </w:r>
      <w:r>
        <w:rPr>
          <w:rFonts w:hint="eastAsia" w:ascii="仿宋_GB2312" w:hAnsi="宋体" w:eastAsia="仿宋_GB2312" w:cs="??_GB2312"/>
          <w:sz w:val="32"/>
          <w:szCs w:val="32"/>
        </w:rPr>
        <w:t>29788</w:t>
      </w:r>
      <w:r>
        <w:rPr>
          <w:rFonts w:hint="eastAsia" w:ascii="仿宋_GB2312" w:hAnsi="宋体" w:eastAsia="仿宋_GB2312" w:cs="仿宋_GB2312"/>
          <w:sz w:val="32"/>
          <w:szCs w:val="32"/>
        </w:rPr>
        <w:t>元；公务用车购置费多（少）支出0元；公务用车维护费多（少）支出0元。主要原因为：</w:t>
      </w:r>
      <w:r>
        <w:rPr>
          <w:rFonts w:hint="eastAsia" w:ascii="仿宋_GB2312" w:hAnsi="宋体" w:eastAsia="仿宋_GB2312" w:cs="??_GB2312"/>
          <w:sz w:val="32"/>
          <w:szCs w:val="32"/>
        </w:rPr>
        <w:t>严格执行十项规定，压缩接待费，</w:t>
      </w:r>
      <w:r>
        <w:rPr>
          <w:rFonts w:hint="eastAsia" w:ascii="仿宋_GB2312" w:hAnsi="宋体" w:eastAsia="仿宋_GB2312"/>
          <w:sz w:val="32"/>
          <w:szCs w:val="32"/>
        </w:rPr>
        <w:t>公务用车维护费与上年无增减变化。</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exact"/>
        <w:ind w:firstLine="640" w:firstLineChars="200"/>
        <w:rPr>
          <w:rFonts w:ascii="仿宋_GB2312" w:hAnsi="宋体" w:eastAsia="仿宋_GB2312" w:cs="??_GB2312"/>
          <w:sz w:val="32"/>
          <w:szCs w:val="32"/>
        </w:rPr>
      </w:pPr>
      <w:r>
        <w:rPr>
          <w:rFonts w:hint="eastAsia" w:ascii="仿宋_GB2312" w:hAnsi="宋体" w:eastAsia="仿宋_GB2312" w:cs="仿宋_GB2312"/>
          <w:sz w:val="32"/>
          <w:szCs w:val="32"/>
        </w:rPr>
        <w:t>2016年培训费</w:t>
      </w:r>
      <w:r>
        <w:rPr>
          <w:rFonts w:hint="eastAsia" w:ascii="仿宋_GB2312" w:hAnsi="宋体" w:eastAsia="仿宋_GB2312" w:cs="??_GB2312"/>
          <w:sz w:val="32"/>
          <w:szCs w:val="32"/>
        </w:rPr>
        <w:t>500000</w:t>
      </w:r>
      <w:r>
        <w:rPr>
          <w:rFonts w:hint="eastAsia" w:ascii="仿宋_GB2312" w:hAnsi="宋体" w:eastAsia="仿宋_GB2312" w:cs="仿宋_GB2312"/>
          <w:sz w:val="32"/>
          <w:szCs w:val="32"/>
        </w:rPr>
        <w:t>元，主要是：</w:t>
      </w:r>
      <w:r>
        <w:rPr>
          <w:rFonts w:hint="eastAsia" w:ascii="仿宋_GB2312" w:hAnsi="宋体" w:eastAsia="仿宋_GB2312" w:cs="??_GB2312"/>
          <w:sz w:val="32"/>
          <w:szCs w:val="32"/>
        </w:rPr>
        <w:t>用于农广校对新型农牧民人员的培训资金。</w:t>
      </w:r>
    </w:p>
    <w:p>
      <w:pPr>
        <w:snapToGrid w:val="0"/>
        <w:spacing w:line="560" w:lineRule="exact"/>
        <w:ind w:firstLine="640" w:firstLineChars="200"/>
        <w:rPr>
          <w:rFonts w:ascii="仿宋_GB2312" w:hAnsi="宋体" w:eastAsia="仿宋_GB2312" w:cs="??_GB2312"/>
          <w:sz w:val="32"/>
          <w:szCs w:val="32"/>
        </w:rPr>
      </w:pPr>
      <w:r>
        <w:rPr>
          <w:rFonts w:hint="eastAsia" w:ascii="仿宋_GB2312" w:hAnsi="宋体" w:eastAsia="仿宋_GB2312" w:cs="??_GB2312"/>
          <w:sz w:val="32"/>
          <w:szCs w:val="32"/>
        </w:rPr>
        <w:t>六、预算执行情况说明</w:t>
      </w:r>
    </w:p>
    <w:p>
      <w:pPr>
        <w:snapToGrid w:val="0"/>
        <w:spacing w:line="560" w:lineRule="exact"/>
        <w:ind w:firstLine="640" w:firstLineChars="200"/>
        <w:rPr>
          <w:rFonts w:ascii="仿宋_GB2312" w:hAnsi="宋体" w:eastAsia="仿宋_GB2312" w:cs="??_GB2312"/>
          <w:sz w:val="32"/>
          <w:szCs w:val="32"/>
        </w:rPr>
      </w:pPr>
      <w:r>
        <w:rPr>
          <w:rFonts w:hint="eastAsia" w:ascii="仿宋_GB2312" w:hAnsi="宋体" w:eastAsia="仿宋_GB2312" w:cs="??_GB2312"/>
          <w:sz w:val="32"/>
          <w:szCs w:val="32"/>
        </w:rPr>
        <w:t>2016年本年收入35855092.41元，比2015年减少38201578.93元，减少原因：各乡站人员划归乡镇管理、退休人员划归社保局管理、项目减少</w:t>
      </w:r>
    </w:p>
    <w:p>
      <w:pPr>
        <w:snapToGrid w:val="0"/>
        <w:spacing w:line="560" w:lineRule="exact"/>
        <w:ind w:firstLine="640" w:firstLineChars="200"/>
        <w:rPr>
          <w:rFonts w:ascii="仿宋_GB2312" w:hAnsi="宋体" w:eastAsia="仿宋_GB2312" w:cs="??_GB2312"/>
          <w:sz w:val="32"/>
          <w:szCs w:val="32"/>
        </w:rPr>
      </w:pPr>
      <w:r>
        <w:rPr>
          <w:rFonts w:hint="eastAsia" w:ascii="仿宋_GB2312" w:hAnsi="宋体" w:eastAsia="仿宋_GB2312" w:cs="??_GB2312"/>
          <w:sz w:val="32"/>
          <w:szCs w:val="32"/>
        </w:rPr>
        <w:t>2016年本年支出35855092.41元，比2015年减少38201578.93元，减少原因：各乡站人员划归乡镇管理、退休人员划归社保局管理、项目减少</w:t>
      </w:r>
      <w:r>
        <w:rPr>
          <w:rFonts w:hint="eastAsia" w:ascii="仿宋_GB2312" w:hAnsi="宋体" w:eastAsia="仿宋_GB2312"/>
          <w:sz w:val="32"/>
          <w:szCs w:val="32"/>
        </w:rPr>
        <w:t>。</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_GB2312"/>
          <w:sz w:val="32"/>
          <w:szCs w:val="32"/>
        </w:rPr>
        <w:t>2016年财政拨款支出33915573.41元，年初预算数20507102.95元，差异原：项目年初未</w:t>
      </w:r>
      <w:r>
        <w:rPr>
          <w:rFonts w:hint="eastAsia" w:ascii="仿宋_GB2312" w:hAnsi="宋体" w:eastAsia="仿宋_GB2312" w:cs="??_GB2312"/>
          <w:sz w:val="32"/>
          <w:szCs w:val="32"/>
          <w:lang w:eastAsia="zh-CN"/>
        </w:rPr>
        <w:t>安</w:t>
      </w:r>
      <w:r>
        <w:rPr>
          <w:rFonts w:hint="eastAsia" w:ascii="仿宋_GB2312" w:hAnsi="宋体" w:eastAsia="仿宋_GB2312" w:cs="??_GB2312"/>
          <w:sz w:val="32"/>
          <w:szCs w:val="32"/>
        </w:rPr>
        <w:t>排预算。</w:t>
      </w:r>
    </w:p>
    <w:p>
      <w:pPr>
        <w:snapToGrid w:val="0"/>
        <w:spacing w:line="560" w:lineRule="exact"/>
        <w:ind w:firstLine="640" w:firstLineChars="200"/>
        <w:rPr>
          <w:rFonts w:ascii="仿宋_GB2312" w:eastAsia="仿宋_GB2312"/>
          <w:sz w:val="32"/>
          <w:szCs w:val="32"/>
        </w:rPr>
      </w:pPr>
      <w:r>
        <w:rPr>
          <w:rFonts w:hint="eastAsia" w:ascii="仿宋_GB2312" w:eastAsia="仿宋_GB2312" w:cs="??_GB2312"/>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（一）机关运行经费支出情况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2016年</w:t>
      </w:r>
      <w:r>
        <w:rPr>
          <w:rFonts w:hint="eastAsia" w:ascii="仿宋_GB2312" w:hAnsi="宋体" w:eastAsia="仿宋_GB2312"/>
          <w:sz w:val="32"/>
          <w:szCs w:val="32"/>
        </w:rPr>
        <w:t>叶城县农业局</w:t>
      </w:r>
      <w:r>
        <w:rPr>
          <w:rFonts w:hint="eastAsia" w:ascii="仿宋_GB2312" w:eastAsia="仿宋_GB2312" w:cs="??_GB2312"/>
          <w:sz w:val="32"/>
          <w:szCs w:val="32"/>
        </w:rPr>
        <w:t>机关运行经费支出146500元，比2015年减少357000元，减少比例70.90% ，主要原因是：102名</w:t>
      </w:r>
      <w:r>
        <w:rPr>
          <w:rFonts w:hint="eastAsia" w:ascii="仿宋_GB2312" w:hAnsi="宋体" w:eastAsia="仿宋_GB2312" w:cs="??_GB2312"/>
          <w:sz w:val="32"/>
          <w:szCs w:val="32"/>
        </w:rPr>
        <w:t>乡站人员划归乡镇管理</w:t>
      </w:r>
      <w:r>
        <w:rPr>
          <w:rFonts w:hint="eastAsia" w:ascii="仿宋_GB2312" w:eastAsia="仿宋_GB2312" w:cs="??_GB2312"/>
          <w:sz w:val="32"/>
          <w:szCs w:val="32"/>
        </w:rPr>
        <w:t>。</w:t>
      </w:r>
    </w:p>
    <w:p>
      <w:pPr>
        <w:numPr>
          <w:ilvl w:val="0"/>
          <w:numId w:val="3"/>
        </w:numPr>
        <w:spacing w:line="560" w:lineRule="exact"/>
        <w:ind w:firstLine="640" w:firstLineChars="200"/>
        <w:rPr>
          <w:rFonts w:ascii="仿宋_GB2312" w:eastAsia="仿宋_GB2312"/>
          <w:sz w:val="32"/>
          <w:szCs w:val="32"/>
        </w:rPr>
      </w:pPr>
      <w:r>
        <w:rPr>
          <w:rFonts w:hint="eastAsia" w:ascii="仿宋_GB2312" w:eastAsia="仿宋_GB2312"/>
          <w:sz w:val="32"/>
          <w:szCs w:val="32"/>
        </w:rPr>
        <w:t>政府采购支出情况</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2016年，</w:t>
      </w:r>
      <w:r>
        <w:rPr>
          <w:rFonts w:hint="eastAsia" w:ascii="仿宋_GB2312" w:hAnsi="宋体" w:eastAsia="仿宋_GB2312" w:cs="??_GB2312"/>
          <w:sz w:val="32"/>
          <w:szCs w:val="32"/>
        </w:rPr>
        <w:t>我</w:t>
      </w:r>
      <w:r>
        <w:rPr>
          <w:rFonts w:hint="eastAsia" w:ascii="仿宋_GB2312" w:eastAsia="仿宋_GB2312" w:cs="??_GB2312"/>
          <w:sz w:val="32"/>
          <w:szCs w:val="32"/>
        </w:rPr>
        <w:t>单位政府采购支</w:t>
      </w:r>
      <w:bookmarkStart w:id="2" w:name="_GoBack"/>
      <w:bookmarkEnd w:id="2"/>
      <w:r>
        <w:rPr>
          <w:rFonts w:hint="eastAsia" w:ascii="仿宋_GB2312" w:eastAsia="仿宋_GB2312" w:cs="??_GB2312"/>
          <w:sz w:val="32"/>
          <w:szCs w:val="32"/>
        </w:rPr>
        <w:t>出总额 2784624.00元，其中政府采购货物支出2784624.00元，政府采购工程支出0元，政府采购服务支出0元。</w:t>
      </w:r>
      <w:r>
        <w:rPr>
          <w:rFonts w:hint="eastAsia" w:ascii="仿宋_GB2312" w:hAnsi="仿宋" w:eastAsia="仿宋_GB2312" w:cs="仿宋"/>
          <w:sz w:val="32"/>
          <w:szCs w:val="32"/>
        </w:rPr>
        <w:t xml:space="preserve">喀什地区为偏远地区，参与招投标的供应商基本为中小微企业。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截止2016年12月31日，本单位共有车辆3辆，其中一般公务用车3辆，一般用车0辆，专业用车0辆，其他车辆0辆 ，单位价值在50万元以上的设备（农产品质量检测设备）1套，价值128.1616万元。</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（四）民生项目、重点支出项目绩效评价结果</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2016年，</w:t>
      </w:r>
      <w:r>
        <w:rPr>
          <w:rFonts w:hint="eastAsia" w:ascii="仿宋_GB2312" w:hAnsi="宋体" w:eastAsia="仿宋_GB2312" w:cs="??_GB2312"/>
          <w:sz w:val="32"/>
          <w:szCs w:val="32"/>
        </w:rPr>
        <w:t>我</w:t>
      </w:r>
      <w:r>
        <w:rPr>
          <w:rFonts w:hint="eastAsia" w:ascii="仿宋_GB2312" w:eastAsia="仿宋_GB2312" w:cs="??_GB2312"/>
          <w:sz w:val="32"/>
          <w:szCs w:val="32"/>
        </w:rPr>
        <w:t xml:space="preserve">单位共组织对 11个项目进行了预算绩效评价，涉及一般公共预算当年财政拨款26070968.13元。绩效评价结果：紧紧围绕基层农技推广体系改革、推广主导品种和主推技术、培育农业、畜牧业科技示范户、建设农业、畜牧科技试验示范基地、强化人才培养等主要内容 ，真正做到花尽量少的资金、办尽量多的事，政府行为更加务实、高效了。围绕农业增效、农民增收、农村发展这个主题，促进农产品产地初加工，提高农产品加工转化率和附加值，促进转型升级，增加农民收入, 促进地方经济和快速发展促进农产品初加工、精神加工，提高农产品加工转化率和附加值，增强农民增收的带动能力，增加农民收入, 促进地方经济和快速发展。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（五）事业收入明细、经营收入明细</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按收入项目分别列示：本单位是行政</w:t>
      </w:r>
      <w:r>
        <w:rPr>
          <w:rFonts w:hint="eastAsia" w:ascii="仿宋_GB2312" w:hAnsi="宋体" w:eastAsia="仿宋_GB2312"/>
          <w:sz w:val="32"/>
          <w:szCs w:val="32"/>
        </w:rPr>
        <w:t>单位</w:t>
      </w:r>
      <w:r>
        <w:rPr>
          <w:rFonts w:hint="eastAsia" w:ascii="仿宋_GB2312" w:eastAsia="仿宋_GB2312" w:cs="??_GB2312"/>
          <w:sz w:val="32"/>
          <w:szCs w:val="32"/>
        </w:rPr>
        <w:t>，无事业收入和经营收入。</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八、专业名词解释</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（一）财政拨款收入：指单位本年度从本级财政部门取得得财政拨款。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（二）事业收入：指事业单位开展专业业务活动及辅助活动所取得的收入。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（四）其他收入：指除上述“财政拨款收入”、“事业收入”、“经营收入”等以外的收入。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（七）结余分配：指事业单位按规定提取的职工福利基</w:t>
      </w:r>
    </w:p>
    <w:p>
      <w:pPr>
        <w:spacing w:line="560" w:lineRule="exact"/>
        <w:rPr>
          <w:rFonts w:ascii="仿宋_GB2312" w:eastAsia="仿宋_GB2312" w:cs="??_GB2312"/>
          <w:sz w:val="32"/>
          <w:szCs w:val="32"/>
        </w:rPr>
      </w:pPr>
      <w:r>
        <w:rPr>
          <w:rFonts w:hint="eastAsia" w:ascii="仿宋_GB2312" w:eastAsia="仿宋_GB2312" w:cs="??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（八）年末结转和结余：指本年度或以前年度预算安排、</w:t>
      </w:r>
    </w:p>
    <w:p>
      <w:pPr>
        <w:spacing w:line="560" w:lineRule="exact"/>
        <w:rPr>
          <w:rFonts w:ascii="仿宋_GB2312" w:eastAsia="仿宋_GB2312" w:cs="??_GB2312"/>
          <w:sz w:val="32"/>
          <w:szCs w:val="32"/>
        </w:rPr>
      </w:pPr>
      <w:r>
        <w:rPr>
          <w:rFonts w:hint="eastAsia" w:ascii="仿宋_GB2312" w:eastAsia="仿宋_GB2312" w:cs="??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napToGrid w:val="0"/>
        <w:spacing w:line="560" w:lineRule="exact"/>
        <w:ind w:firstLine="640" w:firstLineChars="200"/>
        <w:jc w:val="center"/>
        <w:rPr>
          <w:rFonts w:ascii="仿宋_GB2312" w:hAnsi="华文中宋" w:eastAsia="仿宋_GB2312"/>
          <w:sz w:val="32"/>
          <w:szCs w:val="32"/>
        </w:rPr>
      </w:pPr>
      <w:bookmarkStart w:id="1" w:name="YS060100"/>
    </w:p>
    <w:bookmarkEnd w:id="1"/>
    <w:p>
      <w:pPr>
        <w:snapToGrid w:val="0"/>
        <w:spacing w:line="560" w:lineRule="exact"/>
        <w:ind w:left="147" w:leftChars="70" w:firstLine="480" w:firstLineChars="150"/>
        <w:rPr>
          <w:rFonts w:ascii="仿宋_GB2312" w:hAnsi="宋体" w:eastAsia="仿宋_GB2312"/>
          <w:color w:val="FF0000"/>
          <w:sz w:val="32"/>
          <w:szCs w:val="32"/>
        </w:rPr>
      </w:pPr>
      <w:r>
        <w:rPr>
          <w:rFonts w:hint="eastAsia" w:ascii="仿宋_GB2312" w:hAnsi="华文中宋" w:eastAsia="仿宋_GB2312"/>
          <w:color w:val="FF0000"/>
          <w:sz w:val="32"/>
          <w:szCs w:val="32"/>
        </w:rPr>
        <w:t xml:space="preserve"> </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abstractNum w:abstractNumId="2">
    <w:nsid w:val="59414287"/>
    <w:multiLevelType w:val="singleLevel"/>
    <w:tmpl w:val="59414287"/>
    <w:lvl w:ilvl="0" w:tentative="0">
      <w:start w:val="2"/>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0719B"/>
    <w:rsid w:val="000072AB"/>
    <w:rsid w:val="00012D74"/>
    <w:rsid w:val="00016CA9"/>
    <w:rsid w:val="00024B7F"/>
    <w:rsid w:val="00034248"/>
    <w:rsid w:val="00052FE0"/>
    <w:rsid w:val="00054384"/>
    <w:rsid w:val="00062AC7"/>
    <w:rsid w:val="00066795"/>
    <w:rsid w:val="000703F5"/>
    <w:rsid w:val="00086A97"/>
    <w:rsid w:val="000943D8"/>
    <w:rsid w:val="00094D69"/>
    <w:rsid w:val="000A056F"/>
    <w:rsid w:val="000A5461"/>
    <w:rsid w:val="000A65DB"/>
    <w:rsid w:val="000C3B20"/>
    <w:rsid w:val="000E7FFD"/>
    <w:rsid w:val="001042B9"/>
    <w:rsid w:val="00107CD2"/>
    <w:rsid w:val="001250CE"/>
    <w:rsid w:val="00140E78"/>
    <w:rsid w:val="00142BCE"/>
    <w:rsid w:val="00145F4B"/>
    <w:rsid w:val="00147040"/>
    <w:rsid w:val="00147339"/>
    <w:rsid w:val="00151463"/>
    <w:rsid w:val="00170582"/>
    <w:rsid w:val="0017240C"/>
    <w:rsid w:val="0018285F"/>
    <w:rsid w:val="00183136"/>
    <w:rsid w:val="001870FE"/>
    <w:rsid w:val="001943AB"/>
    <w:rsid w:val="001A6F10"/>
    <w:rsid w:val="001B30D5"/>
    <w:rsid w:val="001D09C9"/>
    <w:rsid w:val="001D409E"/>
    <w:rsid w:val="001E4658"/>
    <w:rsid w:val="00201438"/>
    <w:rsid w:val="0020220E"/>
    <w:rsid w:val="00205C3B"/>
    <w:rsid w:val="002114D1"/>
    <w:rsid w:val="002165D8"/>
    <w:rsid w:val="00217A7A"/>
    <w:rsid w:val="00240359"/>
    <w:rsid w:val="00242FE4"/>
    <w:rsid w:val="002509FD"/>
    <w:rsid w:val="00257208"/>
    <w:rsid w:val="002607F5"/>
    <w:rsid w:val="00262C89"/>
    <w:rsid w:val="00265B72"/>
    <w:rsid w:val="002743C3"/>
    <w:rsid w:val="002835A2"/>
    <w:rsid w:val="002861A8"/>
    <w:rsid w:val="00287A2E"/>
    <w:rsid w:val="002C37F3"/>
    <w:rsid w:val="002C677C"/>
    <w:rsid w:val="002C740B"/>
    <w:rsid w:val="002F0FF2"/>
    <w:rsid w:val="00303B2E"/>
    <w:rsid w:val="003158E9"/>
    <w:rsid w:val="00316064"/>
    <w:rsid w:val="0031707E"/>
    <w:rsid w:val="00333969"/>
    <w:rsid w:val="00333F9D"/>
    <w:rsid w:val="00340174"/>
    <w:rsid w:val="003472C5"/>
    <w:rsid w:val="00357AC2"/>
    <w:rsid w:val="003613E4"/>
    <w:rsid w:val="00365EF9"/>
    <w:rsid w:val="00374619"/>
    <w:rsid w:val="003B0831"/>
    <w:rsid w:val="003B594E"/>
    <w:rsid w:val="003C2E54"/>
    <w:rsid w:val="003C48CD"/>
    <w:rsid w:val="003C6591"/>
    <w:rsid w:val="003D0C72"/>
    <w:rsid w:val="004023FB"/>
    <w:rsid w:val="00402616"/>
    <w:rsid w:val="00406AB0"/>
    <w:rsid w:val="00417715"/>
    <w:rsid w:val="0043072D"/>
    <w:rsid w:val="0043342B"/>
    <w:rsid w:val="00434B7B"/>
    <w:rsid w:val="00434EEE"/>
    <w:rsid w:val="0045212A"/>
    <w:rsid w:val="004743B3"/>
    <w:rsid w:val="00486188"/>
    <w:rsid w:val="00487059"/>
    <w:rsid w:val="004926F6"/>
    <w:rsid w:val="004A28B1"/>
    <w:rsid w:val="004D2787"/>
    <w:rsid w:val="004D48D7"/>
    <w:rsid w:val="004D6F93"/>
    <w:rsid w:val="004F38AD"/>
    <w:rsid w:val="0050291C"/>
    <w:rsid w:val="005272D8"/>
    <w:rsid w:val="00532879"/>
    <w:rsid w:val="005445F3"/>
    <w:rsid w:val="00547CA3"/>
    <w:rsid w:val="00552B99"/>
    <w:rsid w:val="00565025"/>
    <w:rsid w:val="00592401"/>
    <w:rsid w:val="005C24CE"/>
    <w:rsid w:val="005D008D"/>
    <w:rsid w:val="005D5345"/>
    <w:rsid w:val="005D5F98"/>
    <w:rsid w:val="005D6922"/>
    <w:rsid w:val="005E4828"/>
    <w:rsid w:val="005E5284"/>
    <w:rsid w:val="005F70AA"/>
    <w:rsid w:val="0061786C"/>
    <w:rsid w:val="0063024C"/>
    <w:rsid w:val="00642F1B"/>
    <w:rsid w:val="006537AC"/>
    <w:rsid w:val="0066260D"/>
    <w:rsid w:val="00663AD7"/>
    <w:rsid w:val="00671F83"/>
    <w:rsid w:val="00672B4C"/>
    <w:rsid w:val="00675F8E"/>
    <w:rsid w:val="006773BD"/>
    <w:rsid w:val="00680F55"/>
    <w:rsid w:val="006878B4"/>
    <w:rsid w:val="00696752"/>
    <w:rsid w:val="00696BE0"/>
    <w:rsid w:val="006A1621"/>
    <w:rsid w:val="006A2219"/>
    <w:rsid w:val="006A56FC"/>
    <w:rsid w:val="006A7356"/>
    <w:rsid w:val="006C7E84"/>
    <w:rsid w:val="006D4B96"/>
    <w:rsid w:val="006F1159"/>
    <w:rsid w:val="006F13E9"/>
    <w:rsid w:val="006F3090"/>
    <w:rsid w:val="006F3AD3"/>
    <w:rsid w:val="006F7FA8"/>
    <w:rsid w:val="0070486D"/>
    <w:rsid w:val="00707EE0"/>
    <w:rsid w:val="007226FB"/>
    <w:rsid w:val="00744EC9"/>
    <w:rsid w:val="00772339"/>
    <w:rsid w:val="007747C2"/>
    <w:rsid w:val="007819CF"/>
    <w:rsid w:val="00782159"/>
    <w:rsid w:val="00785F3E"/>
    <w:rsid w:val="00793D15"/>
    <w:rsid w:val="007978CD"/>
    <w:rsid w:val="00797C84"/>
    <w:rsid w:val="007A2BDC"/>
    <w:rsid w:val="007A4F4B"/>
    <w:rsid w:val="007D7314"/>
    <w:rsid w:val="0080661D"/>
    <w:rsid w:val="008104D1"/>
    <w:rsid w:val="00815033"/>
    <w:rsid w:val="00823C5A"/>
    <w:rsid w:val="008321EE"/>
    <w:rsid w:val="0083537D"/>
    <w:rsid w:val="00842279"/>
    <w:rsid w:val="00847706"/>
    <w:rsid w:val="00854186"/>
    <w:rsid w:val="00854835"/>
    <w:rsid w:val="008640A7"/>
    <w:rsid w:val="008664F8"/>
    <w:rsid w:val="00877032"/>
    <w:rsid w:val="00880D0D"/>
    <w:rsid w:val="008872A2"/>
    <w:rsid w:val="00893317"/>
    <w:rsid w:val="008936AB"/>
    <w:rsid w:val="00895A64"/>
    <w:rsid w:val="00895BE7"/>
    <w:rsid w:val="008B02AA"/>
    <w:rsid w:val="008C3A66"/>
    <w:rsid w:val="008C3E5A"/>
    <w:rsid w:val="008C5ABD"/>
    <w:rsid w:val="008D28A9"/>
    <w:rsid w:val="008E26A2"/>
    <w:rsid w:val="008F46A7"/>
    <w:rsid w:val="008F67FA"/>
    <w:rsid w:val="009078E5"/>
    <w:rsid w:val="00910498"/>
    <w:rsid w:val="00921F8C"/>
    <w:rsid w:val="00954B4B"/>
    <w:rsid w:val="00965BE7"/>
    <w:rsid w:val="0098030F"/>
    <w:rsid w:val="00986E5F"/>
    <w:rsid w:val="009A7D21"/>
    <w:rsid w:val="009B05D9"/>
    <w:rsid w:val="009C453B"/>
    <w:rsid w:val="009C7F6B"/>
    <w:rsid w:val="009D1B17"/>
    <w:rsid w:val="009D2AE5"/>
    <w:rsid w:val="009E1A91"/>
    <w:rsid w:val="009E460B"/>
    <w:rsid w:val="009F1B75"/>
    <w:rsid w:val="009F39C7"/>
    <w:rsid w:val="009F6D25"/>
    <w:rsid w:val="00A0004D"/>
    <w:rsid w:val="00A14678"/>
    <w:rsid w:val="00A2792B"/>
    <w:rsid w:val="00A30E12"/>
    <w:rsid w:val="00A32422"/>
    <w:rsid w:val="00A3418E"/>
    <w:rsid w:val="00A407D1"/>
    <w:rsid w:val="00A46864"/>
    <w:rsid w:val="00A63C17"/>
    <w:rsid w:val="00A63C42"/>
    <w:rsid w:val="00AA1759"/>
    <w:rsid w:val="00AA2800"/>
    <w:rsid w:val="00AA3003"/>
    <w:rsid w:val="00AB21A3"/>
    <w:rsid w:val="00AB7D14"/>
    <w:rsid w:val="00AC139B"/>
    <w:rsid w:val="00AD68D4"/>
    <w:rsid w:val="00AD7784"/>
    <w:rsid w:val="00B05194"/>
    <w:rsid w:val="00B13AF0"/>
    <w:rsid w:val="00B24563"/>
    <w:rsid w:val="00B32F48"/>
    <w:rsid w:val="00B357A0"/>
    <w:rsid w:val="00B4468E"/>
    <w:rsid w:val="00B607AE"/>
    <w:rsid w:val="00B635BA"/>
    <w:rsid w:val="00B839F5"/>
    <w:rsid w:val="00B907A7"/>
    <w:rsid w:val="00B919A9"/>
    <w:rsid w:val="00BB2497"/>
    <w:rsid w:val="00BB372B"/>
    <w:rsid w:val="00BB7B3E"/>
    <w:rsid w:val="00BC6684"/>
    <w:rsid w:val="00BD4413"/>
    <w:rsid w:val="00BE5154"/>
    <w:rsid w:val="00BF1B56"/>
    <w:rsid w:val="00BF32D3"/>
    <w:rsid w:val="00C04BF9"/>
    <w:rsid w:val="00C11AF3"/>
    <w:rsid w:val="00C15174"/>
    <w:rsid w:val="00C337C1"/>
    <w:rsid w:val="00C4155A"/>
    <w:rsid w:val="00C45F21"/>
    <w:rsid w:val="00C52006"/>
    <w:rsid w:val="00C605BD"/>
    <w:rsid w:val="00C61DC5"/>
    <w:rsid w:val="00C62423"/>
    <w:rsid w:val="00C81E20"/>
    <w:rsid w:val="00C82F75"/>
    <w:rsid w:val="00C86FB1"/>
    <w:rsid w:val="00C9244B"/>
    <w:rsid w:val="00C955CC"/>
    <w:rsid w:val="00C97E32"/>
    <w:rsid w:val="00CA0E2D"/>
    <w:rsid w:val="00CB3117"/>
    <w:rsid w:val="00CE1862"/>
    <w:rsid w:val="00CE37ED"/>
    <w:rsid w:val="00CE5978"/>
    <w:rsid w:val="00D37603"/>
    <w:rsid w:val="00D37F14"/>
    <w:rsid w:val="00D4613F"/>
    <w:rsid w:val="00D46D67"/>
    <w:rsid w:val="00D51AD5"/>
    <w:rsid w:val="00D51E0D"/>
    <w:rsid w:val="00D5318C"/>
    <w:rsid w:val="00D541B1"/>
    <w:rsid w:val="00D554FC"/>
    <w:rsid w:val="00D56081"/>
    <w:rsid w:val="00D60A9C"/>
    <w:rsid w:val="00D81E3D"/>
    <w:rsid w:val="00D85B0D"/>
    <w:rsid w:val="00DA057C"/>
    <w:rsid w:val="00DA16BE"/>
    <w:rsid w:val="00DA7C3C"/>
    <w:rsid w:val="00DB13AB"/>
    <w:rsid w:val="00DB2FC5"/>
    <w:rsid w:val="00DE344D"/>
    <w:rsid w:val="00E01742"/>
    <w:rsid w:val="00E02CF8"/>
    <w:rsid w:val="00E339F2"/>
    <w:rsid w:val="00E4310A"/>
    <w:rsid w:val="00E46658"/>
    <w:rsid w:val="00E578A5"/>
    <w:rsid w:val="00E61CE8"/>
    <w:rsid w:val="00E634AB"/>
    <w:rsid w:val="00E774D0"/>
    <w:rsid w:val="00E77C41"/>
    <w:rsid w:val="00E834BA"/>
    <w:rsid w:val="00E8388E"/>
    <w:rsid w:val="00E92674"/>
    <w:rsid w:val="00EA2495"/>
    <w:rsid w:val="00EA5F52"/>
    <w:rsid w:val="00EC1F82"/>
    <w:rsid w:val="00EC282F"/>
    <w:rsid w:val="00ED7C8E"/>
    <w:rsid w:val="00EE2E07"/>
    <w:rsid w:val="00EE66B1"/>
    <w:rsid w:val="00EF3B2C"/>
    <w:rsid w:val="00EF7B17"/>
    <w:rsid w:val="00F0364D"/>
    <w:rsid w:val="00F04405"/>
    <w:rsid w:val="00F06CB4"/>
    <w:rsid w:val="00F16C5D"/>
    <w:rsid w:val="00F2485B"/>
    <w:rsid w:val="00F453E0"/>
    <w:rsid w:val="00F5526F"/>
    <w:rsid w:val="00F71A7A"/>
    <w:rsid w:val="00F81C9E"/>
    <w:rsid w:val="00F820FC"/>
    <w:rsid w:val="00F83DB6"/>
    <w:rsid w:val="00FA08FE"/>
    <w:rsid w:val="00FA2C9B"/>
    <w:rsid w:val="00FA4649"/>
    <w:rsid w:val="00FD70E6"/>
    <w:rsid w:val="00FE11DF"/>
    <w:rsid w:val="00FE36E0"/>
    <w:rsid w:val="00FF5D03"/>
    <w:rsid w:val="03431AE6"/>
    <w:rsid w:val="04D336CC"/>
    <w:rsid w:val="062075E7"/>
    <w:rsid w:val="06784B76"/>
    <w:rsid w:val="08100883"/>
    <w:rsid w:val="107D7054"/>
    <w:rsid w:val="128D26B2"/>
    <w:rsid w:val="18D42B1E"/>
    <w:rsid w:val="2253286E"/>
    <w:rsid w:val="249C7FF8"/>
    <w:rsid w:val="27E14D9A"/>
    <w:rsid w:val="31F21A6B"/>
    <w:rsid w:val="3F585E43"/>
    <w:rsid w:val="442D09BD"/>
    <w:rsid w:val="462D48EA"/>
    <w:rsid w:val="4AEA5228"/>
    <w:rsid w:val="4B874A3B"/>
    <w:rsid w:val="52021DDB"/>
    <w:rsid w:val="56540FDB"/>
    <w:rsid w:val="58E538FA"/>
    <w:rsid w:val="5C1C5845"/>
    <w:rsid w:val="6AA11E68"/>
    <w:rsid w:val="71DE4D32"/>
    <w:rsid w:val="7B4B3AC8"/>
    <w:rsid w:val="7B941095"/>
    <w:rsid w:val="7EC6643F"/>
    <w:rsid w:val="7F5E436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style>
  <w:style w:type="paragraph" w:styleId="3">
    <w:name w:val="Balloon Text"/>
    <w:basedOn w:val="1"/>
    <w:link w:val="11"/>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240"/>
      <w:jc w:val="left"/>
    </w:pPr>
    <w:rPr>
      <w:rFonts w:ascii="宋体" w:hAnsi="宋体" w:cs="宋体"/>
      <w:kern w:val="0"/>
      <w:sz w:val="24"/>
    </w:rPr>
  </w:style>
  <w:style w:type="character" w:styleId="9">
    <w:name w:val="page number"/>
    <w:qFormat/>
    <w:uiPriority w:val="99"/>
    <w:rPr>
      <w:rFonts w:cs="Times New Roman"/>
    </w:rPr>
  </w:style>
  <w:style w:type="character" w:customStyle="1" w:styleId="10">
    <w:name w:val="日期 Char"/>
    <w:link w:val="2"/>
    <w:semiHidden/>
    <w:qFormat/>
    <w:locked/>
    <w:uiPriority w:val="99"/>
    <w:rPr>
      <w:rFonts w:cs="Times New Roman"/>
      <w:sz w:val="24"/>
      <w:szCs w:val="24"/>
    </w:rPr>
  </w:style>
  <w:style w:type="character" w:customStyle="1" w:styleId="11">
    <w:name w:val="批注框文本 Char"/>
    <w:link w:val="3"/>
    <w:qFormat/>
    <w:locked/>
    <w:uiPriority w:val="99"/>
    <w:rPr>
      <w:rFonts w:cs="Times New Roman"/>
      <w:kern w:val="2"/>
      <w:sz w:val="18"/>
    </w:rPr>
  </w:style>
  <w:style w:type="character" w:customStyle="1" w:styleId="12">
    <w:name w:val="页脚 Char"/>
    <w:link w:val="4"/>
    <w:qFormat/>
    <w:locked/>
    <w:uiPriority w:val="99"/>
    <w:rPr>
      <w:rFonts w:cs="Times New Roman"/>
      <w:kern w:val="2"/>
      <w:sz w:val="18"/>
    </w:rPr>
  </w:style>
  <w:style w:type="character" w:customStyle="1" w:styleId="13">
    <w:name w:val="页眉 Char"/>
    <w:link w:val="5"/>
    <w:qFormat/>
    <w:locked/>
    <w:uiPriority w:val="99"/>
    <w:rPr>
      <w:rFonts w:cs="Times New Roman"/>
      <w:kern w:val="2"/>
      <w:sz w:val="18"/>
    </w:rPr>
  </w:style>
  <w:style w:type="paragraph" w:customStyle="1" w:styleId="14">
    <w:name w:val="notice_title"/>
    <w:basedOn w:val="1"/>
    <w:qFormat/>
    <w:uiPriority w:val="99"/>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Pages>
  <Words>564</Words>
  <Characters>3217</Characters>
  <Lines>26</Lines>
  <Paragraphs>7</Paragraphs>
  <TotalTime>52</TotalTime>
  <ScaleCrop>false</ScaleCrop>
  <LinksUpToDate>false</LinksUpToDate>
  <CharactersWithSpaces>3774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2016-05-29T09:45:00Z</dcterms:created>
  <dc:creator>许梦如</dc:creator>
  <cp:lastModifiedBy>Administrator</cp:lastModifiedBy>
  <cp:lastPrinted>2015-08-28T07:57:00Z</cp:lastPrinted>
  <dcterms:modified xsi:type="dcterms:W3CDTF">2023-11-29T09:43:49Z</dcterms:modified>
  <dc:title>喀什地区部门决算和三公经费</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