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after="0" w:line="560" w:lineRule="exact"/>
        <w:jc w:val="center"/>
        <w:rPr>
          <w:rFonts w:hint="eastAsia" w:ascii="方正小标宋简体" w:hAnsi="Arial" w:eastAsia="方正小标宋简体" w:cs="Arial"/>
          <w:b/>
          <w:bCs w:val="0"/>
          <w:sz w:val="44"/>
          <w:szCs w:val="44"/>
        </w:rPr>
      </w:pPr>
      <w:r>
        <w:rPr>
          <w:rFonts w:hint="eastAsia" w:ascii="方正小标宋简体" w:hAnsi="Arial" w:eastAsia="方正小标宋简体" w:cs="Arial"/>
          <w:b/>
          <w:bCs w:val="0"/>
          <w:sz w:val="44"/>
          <w:szCs w:val="44"/>
        </w:rPr>
        <w:t>喀什地区叶城县工商行政管理局</w:t>
      </w:r>
      <w:r>
        <w:rPr>
          <w:rFonts w:ascii="方正小标宋简体" w:hAnsi="Arial" w:eastAsia="方正小标宋简体" w:cs="Arial"/>
          <w:b/>
          <w:bCs w:val="0"/>
          <w:sz w:val="44"/>
          <w:szCs w:val="44"/>
        </w:rPr>
        <w:br w:type="textWrapping"/>
      </w:r>
      <w:r>
        <w:rPr>
          <w:rFonts w:hint="eastAsia" w:ascii="方正小标宋简体" w:hAnsi="Arial" w:eastAsia="方正小标宋简体" w:cs="Arial"/>
          <w:b/>
          <w:bCs w:val="0"/>
          <w:sz w:val="44"/>
          <w:szCs w:val="44"/>
        </w:rPr>
        <w:t>2017年部门预算信息公开说明</w:t>
      </w:r>
    </w:p>
    <w:p>
      <w:pPr>
        <w:pStyle w:val="3"/>
        <w:shd w:val="clear" w:color="auto" w:fill="FFFFFF"/>
        <w:spacing w:before="0" w:beforeAutospacing="0" w:after="0" w:line="560" w:lineRule="exact"/>
        <w:ind w:firstLine="361" w:firstLineChars="200"/>
        <w:jc w:val="both"/>
        <w:rPr>
          <w:rFonts w:hint="eastAsia" w:ascii="Arial" w:hAnsi="Arial" w:cs="Arial"/>
          <w:b/>
          <w:sz w:val="18"/>
          <w:szCs w:val="18"/>
        </w:rPr>
      </w:pPr>
    </w:p>
    <w:p>
      <w:pPr>
        <w:pStyle w:val="6"/>
        <w:spacing w:after="0" w:line="560" w:lineRule="exact"/>
        <w:ind w:firstLine="640" w:firstLineChars="200"/>
        <w:jc w:val="both"/>
        <w:rPr>
          <w:rFonts w:hint="eastAsia" w:ascii="仿宋_GB2312" w:eastAsia="仿宋_GB2312"/>
          <w:b w:val="0"/>
          <w:color w:val="auto"/>
          <w:sz w:val="32"/>
          <w:szCs w:val="32"/>
        </w:rPr>
      </w:pPr>
      <w:r>
        <w:rPr>
          <w:rFonts w:hint="eastAsia" w:ascii="仿宋_GB2312" w:hAnsi="Times New Roman" w:eastAsia="仿宋_GB2312" w:cs="Times New Roman"/>
          <w:b w:val="0"/>
          <w:color w:val="auto"/>
          <w:sz w:val="32"/>
          <w:szCs w:val="32"/>
        </w:rPr>
        <w:t>为进一步增强政府预算透明度，提升预算管理水平，更好地保障公民的知情权、参与权和监督权</w:t>
      </w:r>
      <w:r>
        <w:rPr>
          <w:rFonts w:hint="eastAsia" w:ascii="仿宋_GB2312" w:hAnsi="Arial" w:eastAsia="仿宋_GB2312" w:cs="Arial"/>
          <w:b w:val="0"/>
          <w:color w:val="auto"/>
          <w:sz w:val="32"/>
          <w:szCs w:val="32"/>
        </w:rPr>
        <w:t>，</w:t>
      </w:r>
      <w:r>
        <w:rPr>
          <w:rFonts w:hint="eastAsia" w:ascii="仿宋_GB2312" w:eastAsia="仿宋_GB2312"/>
          <w:b w:val="0"/>
          <w:color w:val="auto"/>
          <w:sz w:val="32"/>
          <w:szCs w:val="32"/>
        </w:rPr>
        <w:t>根据喀什地区《关于2017年部门预算信息公开工作的通知》（喀地财预</w:t>
      </w:r>
      <w:r>
        <w:rPr>
          <w:rFonts w:hint="eastAsia"/>
          <w:b w:val="0"/>
          <w:color w:val="auto"/>
          <w:sz w:val="32"/>
          <w:szCs w:val="32"/>
        </w:rPr>
        <w:t>﹝</w:t>
      </w:r>
      <w:r>
        <w:rPr>
          <w:rFonts w:hint="eastAsia" w:ascii="仿宋_GB2312" w:eastAsia="仿宋_GB2312"/>
          <w:b w:val="0"/>
          <w:color w:val="auto"/>
          <w:sz w:val="32"/>
          <w:szCs w:val="32"/>
        </w:rPr>
        <w:t>2017</w:t>
      </w:r>
      <w:r>
        <w:rPr>
          <w:rFonts w:hint="eastAsia"/>
          <w:b w:val="0"/>
          <w:color w:val="auto"/>
          <w:sz w:val="32"/>
          <w:szCs w:val="32"/>
        </w:rPr>
        <w:t>﹞40</w:t>
      </w:r>
      <w:r>
        <w:rPr>
          <w:rFonts w:hint="eastAsia" w:ascii="仿宋_GB2312" w:eastAsia="仿宋_GB2312"/>
          <w:b w:val="0"/>
          <w:color w:val="auto"/>
          <w:sz w:val="32"/>
          <w:szCs w:val="32"/>
        </w:rPr>
        <w:t>号）的要求，</w:t>
      </w:r>
      <w:r>
        <w:rPr>
          <w:rFonts w:hint="eastAsia" w:ascii="仿宋_GB2312" w:hAnsi="Arial" w:eastAsia="仿宋_GB2312" w:cs="Arial"/>
          <w:b w:val="0"/>
          <w:color w:val="auto"/>
          <w:sz w:val="32"/>
          <w:szCs w:val="32"/>
        </w:rPr>
        <w:t>现将叶城县市场监督管理局2017年部门预算及</w:t>
      </w:r>
      <w:bookmarkStart w:id="0" w:name="_GoBack"/>
      <w:bookmarkEnd w:id="0"/>
      <w:r>
        <w:rPr>
          <w:rFonts w:hint="eastAsia" w:ascii="仿宋_GB2312" w:hAnsi="Arial" w:eastAsia="仿宋_GB2312" w:cs="Arial"/>
          <w:b w:val="0"/>
          <w:color w:val="auto"/>
          <w:sz w:val="32"/>
          <w:szCs w:val="32"/>
          <w:lang w:eastAsia="zh-CN"/>
        </w:rPr>
        <w:t>“三公”经费</w:t>
      </w:r>
      <w:r>
        <w:rPr>
          <w:rFonts w:hint="eastAsia" w:ascii="仿宋_GB2312" w:hAnsi="Arial" w:eastAsia="仿宋_GB2312" w:cs="Arial"/>
          <w:b w:val="0"/>
          <w:color w:val="auto"/>
          <w:sz w:val="32"/>
          <w:szCs w:val="32"/>
        </w:rPr>
        <w:t>信息公开如下：</w:t>
      </w:r>
    </w:p>
    <w:p>
      <w:pPr>
        <w:pStyle w:val="3"/>
        <w:shd w:val="clear" w:color="auto" w:fill="FFFFFF"/>
        <w:spacing w:before="0" w:beforeAutospacing="0" w:after="0" w:line="560" w:lineRule="exact"/>
        <w:ind w:firstLine="640" w:firstLineChars="200"/>
        <w:jc w:val="both"/>
        <w:rPr>
          <w:rFonts w:hint="eastAsia" w:ascii="黑体" w:hAnsi="Arial" w:eastAsia="黑体" w:cs="Arial"/>
          <w:sz w:val="32"/>
          <w:szCs w:val="32"/>
        </w:rPr>
      </w:pPr>
      <w:r>
        <w:rPr>
          <w:rFonts w:hint="eastAsia" w:ascii="黑体" w:hAnsi="Arial" w:eastAsia="黑体" w:cs="Arial"/>
          <w:sz w:val="32"/>
          <w:szCs w:val="32"/>
        </w:rPr>
        <w:t>一、部门基本情况</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sz w:val="32"/>
          <w:szCs w:val="32"/>
        </w:rPr>
      </w:pPr>
      <w:r>
        <w:rPr>
          <w:rFonts w:hint="eastAsia" w:ascii="楷体_GB2312" w:hAnsi="Arial" w:eastAsia="楷体_GB2312" w:cs="Arial"/>
          <w:b/>
          <w:sz w:val="32"/>
          <w:szCs w:val="32"/>
        </w:rPr>
        <w:t>（一）部门职能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1、贯彻执行国家、自治区、地区有关食品药品监督管理、工商行政管理、质量技术监督等方面的法律、法规和政策；拟订相关规范性文件和政策、措施并组织实施。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2、拟订并组织实施市场监督管理事业发展规划和技术机构建设规划；组织推进质量发展工作。</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3、负责涉及食品药品监督管理、工商行政管理、质量技术监督的各类行政审批和行政许可并监督管理。组织查处违反食品药品监督管理、工商行政管理、质量技术监督法律、法规、规章的行为。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4、依法承担对各类市场经营秩序监管责任，维护公平竞争的市场经营秩序；组织开展企业信用体系建设，推进政府企业信用、行业信用建设，实施信用分类管理；依法监督管理经纪人、经纪机构及经纪活动。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5、依法承担消费者权益保护责任，建立消费者权益保护体系，组织指导消费维权工作；负责做好涉及食品药品监督管理、工商行政管理、质量技术监督的申诉和举报工作。</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6、依法实施合同行政监督管理，规范合同行为；负责商标监督管理工作；承担辖区内酒类流通管理职责。</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7、依法承担质量监督管理工作。负责质量宏观管理和产品（商品）质量监督检查工作；组织产品（商品）质量预警、监测工作；依法组织协调重大质量事故的调查处理和缺陷产品（商品）召回制度。</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8、负责管理计量工作；组织推行法定计量单位和国家计量制度；依法管理辖区计量器具及量值传递和比对工作；负责规范和监督商品计量和市场计量行为。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9、负责管理标准化工作；组织协调和指导推动各部门、各行业的标准化工作；依法组织制定地方标准规范；依法监督标准的实施。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10、负责管理合格评定工作；依法负责检验机构及其检验服务活动的监督管理工作；规范和监督认证市场行为；负责工业产品生产许可证和能效标识的监督管理。</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11、承担本行政区域内特种设备安全监督管理工作，监督检查高耗能特种设备节能标准的执行情况。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12、依法承担食品安全监督管理工作。负责食品质量监督抽查、检测及处理工作，负责监督实施食品行政许可，承担食品安全检查、整顿治理和食品安全突发事件的应对处置。</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13、负责药品、化妆品、医疗器械的监督管理；</w:t>
      </w:r>
      <w:r>
        <w:rPr>
          <w:rFonts w:hint="eastAsia" w:ascii="仿宋_GB2312" w:hAnsi="仿宋_GB2312" w:eastAsia="仿宋_GB2312" w:cs="仿宋_GB2312"/>
          <w:sz w:val="32"/>
          <w:szCs w:val="32"/>
          <w:lang w:val="zh-CN"/>
        </w:rPr>
        <w:t>监督实施全县药品和医疗器械的标准、分类管理制度，监督实施药品和医疗器械的研制、生产、经营、使用质量等管理规范。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lang w:val="zh-CN"/>
        </w:rPr>
        <w:t>负责食品药品安全事故应急体系建设，组织和指导食品药品安全事故预防控制、应急处置和调查处理工作，监督食品药品安全事故查处落实情况。</w:t>
      </w:r>
    </w:p>
    <w:p>
      <w:pPr>
        <w:spacing w:line="5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15、负责制定全县市场监督管理、食品药品安全、质量技术监督科技发展规划并组织实施，推动食品药品检验检测体系、电子监管追溯体系、电子营业执照登记注册便利化体系和信息化建设。</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lang w:val="zh-CN"/>
        </w:rPr>
        <w:t>指导乡场（镇）市场监督管理工作，规范行政执法行为，完善行政执法与刑事司法衔接机制。</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lang w:val="zh-CN"/>
        </w:rPr>
        <w:t>负责食品安全监督管理综合协调，推动健全协调联动机制。督促检查各乡场（镇）人民政府履行食品安全监督管理职责。</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18、承办县委、县政府及县食品安全委员会交办的其他事项。</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（二）机构设置</w:t>
      </w:r>
    </w:p>
    <w:p>
      <w:pPr>
        <w:rPr>
          <w:rFonts w:hint="eastAsia" w:ascii="仿宋_GB2312" w:hAnsi="Arial" w:eastAsia="仿宋_GB2312" w:cs="Arial"/>
          <w:sz w:val="32"/>
          <w:szCs w:val="32"/>
        </w:rPr>
      </w:pPr>
      <w:r>
        <w:rPr>
          <w:rFonts w:hint="eastAsia" w:ascii="仿宋_GB2312" w:hAnsi="Arial" w:eastAsia="仿宋_GB2312" w:cs="Arial"/>
          <w:sz w:val="32"/>
          <w:szCs w:val="32"/>
        </w:rPr>
        <w:t>根据职责，纳入2017年部门预算编制范围的有1个内设机构。</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（三）人员编制</w:t>
      </w:r>
    </w:p>
    <w:p>
      <w:pPr>
        <w:spacing w:line="500" w:lineRule="exact"/>
        <w:ind w:firstLine="720"/>
        <w:rPr>
          <w:rFonts w:hint="eastAsia" w:ascii="仿宋_GB2312" w:hAnsi="仿宋_GB2312" w:eastAsia="仿宋_GB2312" w:cs="仿宋_GB2312"/>
          <w:spacing w:val="-7"/>
          <w:sz w:val="32"/>
          <w:szCs w:val="32"/>
        </w:rPr>
      </w:pPr>
      <w:r>
        <w:rPr>
          <w:rFonts w:hint="eastAsia" w:ascii="仿宋_GB2312" w:hAnsi="仿宋_GB2312" w:eastAsia="仿宋_GB2312" w:cs="仿宋_GB2312"/>
          <w:sz w:val="32"/>
          <w:szCs w:val="32"/>
        </w:rPr>
        <w:t>叶城县市场监督管理局隶属叶城县政府，属行政机关单位，2017年人员编制共计100人，其中：行政编制78人，机关工勤3人，参照14人，事业5人。实有在职人数88人，离休1人，属于一般公共预算财政拨款（补助）开支89人，其中：在职88人，退休0人，离休1人。</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（四）资产情况</w:t>
      </w:r>
    </w:p>
    <w:p>
      <w:pPr>
        <w:rPr>
          <w:rFonts w:hint="eastAsia" w:ascii="仿宋_GB2312" w:hAnsi="Arial" w:eastAsia="仿宋_GB2312" w:cs="Arial"/>
          <w:sz w:val="32"/>
          <w:szCs w:val="32"/>
        </w:rPr>
      </w:pPr>
      <w:r>
        <w:rPr>
          <w:rFonts w:hint="eastAsia" w:ascii="仿宋_GB2312" w:hAnsi="Arial" w:eastAsia="仿宋_GB2312" w:cs="Arial"/>
          <w:sz w:val="32"/>
          <w:szCs w:val="32"/>
        </w:rPr>
        <w:t>2017年单位占有使用国有资产</w:t>
      </w:r>
      <w:r>
        <w:rPr>
          <w:rFonts w:hint="eastAsia" w:ascii="仿宋_GB2312" w:hAnsi="Arial" w:eastAsia="仿宋_GB2312" w:cs="Arial"/>
          <w:sz w:val="32"/>
          <w:szCs w:val="32"/>
          <w:lang w:val="en-US" w:eastAsia="zh-CN"/>
        </w:rPr>
        <w:t>1066.83</w:t>
      </w:r>
      <w:r>
        <w:rPr>
          <w:rFonts w:hint="eastAsia" w:ascii="仿宋_GB2312" w:hAnsi="Arial" w:eastAsia="仿宋_GB2312" w:cs="Arial"/>
          <w:sz w:val="32"/>
          <w:szCs w:val="32"/>
        </w:rPr>
        <w:t>万元，其中：流动资产</w:t>
      </w:r>
      <w:r>
        <w:rPr>
          <w:rFonts w:hint="eastAsia" w:ascii="仿宋_GB2312" w:hAnsi="Arial" w:eastAsia="仿宋_GB2312" w:cs="Arial"/>
          <w:sz w:val="32"/>
          <w:szCs w:val="32"/>
          <w:lang w:val="en-US" w:eastAsia="zh-CN"/>
        </w:rPr>
        <w:t>10.78</w:t>
      </w:r>
      <w:r>
        <w:rPr>
          <w:rFonts w:hint="eastAsia" w:ascii="仿宋_GB2312" w:hAnsi="Arial" w:eastAsia="仿宋_GB2312" w:cs="Arial"/>
          <w:sz w:val="32"/>
          <w:szCs w:val="32"/>
        </w:rPr>
        <w:t>万元，固定资产</w:t>
      </w:r>
      <w:r>
        <w:rPr>
          <w:rFonts w:hint="eastAsia" w:ascii="仿宋_GB2312" w:hAnsi="Arial" w:eastAsia="仿宋_GB2312" w:cs="Arial"/>
          <w:sz w:val="32"/>
          <w:szCs w:val="32"/>
          <w:lang w:val="en-US" w:eastAsia="zh-CN"/>
        </w:rPr>
        <w:t>1056.05</w:t>
      </w:r>
      <w:r>
        <w:rPr>
          <w:rFonts w:hint="eastAsia" w:ascii="仿宋_GB2312" w:hAnsi="Arial" w:eastAsia="仿宋_GB2312" w:cs="Arial"/>
          <w:sz w:val="32"/>
          <w:szCs w:val="32"/>
        </w:rPr>
        <w:t>万元，长期投资0万元，在建工程0万元，无形资产0万元，其他资产0万元。拥有房屋</w:t>
      </w:r>
      <w:r>
        <w:rPr>
          <w:rFonts w:hint="eastAsia" w:ascii="仿宋_GB2312" w:hAnsi="Arial" w:eastAsia="仿宋_GB2312" w:cs="Arial"/>
          <w:sz w:val="32"/>
          <w:szCs w:val="32"/>
          <w:lang w:val="en-US" w:eastAsia="zh-CN"/>
        </w:rPr>
        <w:t>5648.65</w:t>
      </w:r>
      <w:r>
        <w:rPr>
          <w:rFonts w:hint="eastAsia" w:ascii="仿宋_GB2312" w:hAnsi="Arial" w:eastAsia="仿宋_GB2312" w:cs="Arial"/>
          <w:sz w:val="32"/>
          <w:szCs w:val="32"/>
        </w:rPr>
        <w:t>平方米。汽车</w:t>
      </w:r>
      <w:r>
        <w:rPr>
          <w:rFonts w:hint="eastAsia" w:ascii="仿宋_GB2312" w:hAnsi="Arial" w:eastAsia="仿宋_GB2312" w:cs="Arial"/>
          <w:sz w:val="32"/>
          <w:szCs w:val="32"/>
          <w:lang w:val="en-US" w:eastAsia="zh-CN"/>
        </w:rPr>
        <w:t>13</w:t>
      </w:r>
      <w:r>
        <w:rPr>
          <w:rFonts w:hint="eastAsia" w:ascii="仿宋_GB2312" w:hAnsi="Arial" w:eastAsia="仿宋_GB2312" w:cs="Arial"/>
          <w:sz w:val="32"/>
          <w:szCs w:val="32"/>
        </w:rPr>
        <w:t>辆。单价在</w:t>
      </w:r>
      <w:r>
        <w:rPr>
          <w:rFonts w:hint="eastAsia" w:ascii="仿宋_GB2312" w:hAnsi="Arial" w:eastAsia="仿宋_GB2312" w:cs="Arial"/>
          <w:sz w:val="32"/>
          <w:szCs w:val="32"/>
          <w:lang w:val="en-US" w:eastAsia="zh-CN"/>
        </w:rPr>
        <w:t>50</w:t>
      </w:r>
      <w:r>
        <w:rPr>
          <w:rFonts w:hint="eastAsia" w:ascii="仿宋_GB2312" w:hAnsi="Arial" w:eastAsia="仿宋_GB2312" w:cs="Arial"/>
          <w:sz w:val="32"/>
          <w:szCs w:val="32"/>
        </w:rPr>
        <w:t>万元以上的设备0台。</w:t>
      </w:r>
      <w:r>
        <w:rPr>
          <w:rFonts w:hint="eastAsia" w:ascii="仿宋_GB2312" w:hAnsi="Arial" w:eastAsia="仿宋_GB2312" w:cs="Arial"/>
          <w:b w:val="0"/>
          <w:bCs/>
          <w:sz w:val="32"/>
          <w:szCs w:val="32"/>
        </w:rPr>
        <w:t>与上年相比</w:t>
      </w:r>
      <w:r>
        <w:rPr>
          <w:rFonts w:hint="eastAsia" w:ascii="仿宋_GB2312" w:hAnsi="Arial" w:eastAsia="仿宋_GB2312" w:cs="Arial"/>
          <w:sz w:val="32"/>
          <w:szCs w:val="32"/>
        </w:rPr>
        <w:t>减少</w:t>
      </w:r>
      <w:r>
        <w:rPr>
          <w:rFonts w:hint="eastAsia" w:ascii="仿宋_GB2312" w:hAnsi="Arial" w:eastAsia="仿宋_GB2312" w:cs="Arial"/>
          <w:sz w:val="32"/>
          <w:szCs w:val="32"/>
          <w:lang w:val="en-US" w:eastAsia="zh-CN"/>
        </w:rPr>
        <w:t>149.50</w:t>
      </w:r>
      <w:r>
        <w:rPr>
          <w:rFonts w:hint="eastAsia" w:ascii="仿宋_GB2312" w:hAnsi="Arial" w:eastAsia="仿宋_GB2312" w:cs="Arial"/>
          <w:sz w:val="32"/>
          <w:szCs w:val="32"/>
        </w:rPr>
        <w:t>万元，</w:t>
      </w:r>
      <w:r>
        <w:rPr>
          <w:rFonts w:hint="eastAsia" w:ascii="仿宋_GB2312" w:hAnsi="Arial" w:eastAsia="仿宋_GB2312" w:cs="Arial"/>
          <w:b w:val="0"/>
          <w:bCs/>
          <w:sz w:val="32"/>
          <w:szCs w:val="32"/>
        </w:rPr>
        <w:t>主要原因</w:t>
      </w:r>
      <w:r>
        <w:rPr>
          <w:rFonts w:hint="eastAsia" w:ascii="仿宋_GB2312" w:hAnsi="Arial" w:eastAsia="仿宋_GB2312" w:cs="Arial"/>
          <w:sz w:val="32"/>
          <w:szCs w:val="32"/>
        </w:rPr>
        <w:t>是固定资产折旧。</w:t>
      </w:r>
    </w:p>
    <w:p>
      <w:pPr>
        <w:pStyle w:val="3"/>
        <w:shd w:val="clear" w:color="auto" w:fill="FFFFFF"/>
        <w:spacing w:before="0" w:beforeAutospacing="0" w:after="0" w:line="560" w:lineRule="exact"/>
        <w:ind w:firstLine="640" w:firstLineChars="200"/>
        <w:jc w:val="both"/>
        <w:rPr>
          <w:rFonts w:hint="eastAsia" w:ascii="黑体" w:hAnsi="Arial" w:eastAsia="黑体" w:cs="Arial"/>
          <w:sz w:val="32"/>
          <w:szCs w:val="32"/>
        </w:rPr>
      </w:pPr>
      <w:r>
        <w:rPr>
          <w:rFonts w:hint="eastAsia" w:ascii="黑体" w:hAnsi="Arial" w:eastAsia="黑体" w:cs="Arial"/>
          <w:sz w:val="32"/>
          <w:szCs w:val="32"/>
        </w:rPr>
        <w:t>二、2017年部门预算收支</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（一）收支总体情况</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收入预算</w:t>
      </w:r>
      <w:r>
        <w:rPr>
          <w:rFonts w:hint="eastAsia" w:ascii="仿宋_GB2312" w:hAnsi="Arial" w:eastAsia="仿宋_GB2312" w:cs="Arial"/>
          <w:sz w:val="32"/>
          <w:szCs w:val="32"/>
          <w:lang w:val="en-US" w:eastAsia="zh-CN"/>
        </w:rPr>
        <w:t>1468.11</w:t>
      </w:r>
      <w:r>
        <w:rPr>
          <w:rFonts w:hint="eastAsia" w:ascii="仿宋_GB2312" w:hAnsi="Arial" w:eastAsia="仿宋_GB2312" w:cs="Arial"/>
          <w:sz w:val="32"/>
          <w:szCs w:val="32"/>
        </w:rPr>
        <w:t>万元，其中： 一般公共预算收入</w:t>
      </w:r>
      <w:r>
        <w:rPr>
          <w:rFonts w:hint="eastAsia" w:ascii="仿宋_GB2312" w:hAnsi="Arial" w:eastAsia="仿宋_GB2312" w:cs="Arial"/>
          <w:sz w:val="32"/>
          <w:szCs w:val="32"/>
          <w:lang w:val="en-US" w:eastAsia="zh-CN"/>
        </w:rPr>
        <w:t>1468.11</w:t>
      </w:r>
      <w:r>
        <w:rPr>
          <w:rFonts w:hint="eastAsia" w:ascii="仿宋_GB2312" w:hAnsi="Arial" w:eastAsia="仿宋_GB2312" w:cs="Arial"/>
          <w:sz w:val="32"/>
          <w:szCs w:val="32"/>
        </w:rPr>
        <w:t>万元，政府性基金预算收入0万元，纳入专户管理的非税收入0万元，其他收入0万元，事业单位经营收入0万元。支出预算总额为</w:t>
      </w:r>
      <w:r>
        <w:rPr>
          <w:rFonts w:hint="eastAsia" w:ascii="仿宋_GB2312" w:hAnsi="Arial" w:eastAsia="仿宋_GB2312" w:cs="Arial"/>
          <w:sz w:val="32"/>
          <w:szCs w:val="32"/>
          <w:lang w:val="en-US" w:eastAsia="zh-CN"/>
        </w:rPr>
        <w:t>1468.11</w:t>
      </w:r>
      <w:r>
        <w:rPr>
          <w:rFonts w:hint="eastAsia" w:ascii="仿宋_GB2312" w:hAnsi="Arial" w:eastAsia="仿宋_GB2312" w:cs="Arial"/>
          <w:sz w:val="32"/>
          <w:szCs w:val="32"/>
        </w:rPr>
        <w:t>万元。</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（二）预算支出主要内容</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支出分为基本支出和项目支出，其中：基本支出预算安排</w:t>
      </w:r>
      <w:r>
        <w:rPr>
          <w:rFonts w:hint="eastAsia" w:ascii="仿宋_GB2312" w:hAnsi="Arial" w:eastAsia="仿宋_GB2312" w:cs="Arial"/>
          <w:sz w:val="32"/>
          <w:szCs w:val="32"/>
          <w:lang w:val="en-US" w:eastAsia="zh-CN"/>
        </w:rPr>
        <w:t>1458.11</w:t>
      </w:r>
      <w:r>
        <w:rPr>
          <w:rFonts w:hint="eastAsia" w:ascii="仿宋_GB2312" w:hAnsi="Arial" w:eastAsia="仿宋_GB2312" w:cs="Arial"/>
          <w:sz w:val="32"/>
          <w:szCs w:val="32"/>
        </w:rPr>
        <w:t>万元，包括：工资福利支出</w:t>
      </w:r>
      <w:r>
        <w:rPr>
          <w:rFonts w:hint="eastAsia" w:ascii="仿宋_GB2312" w:hAnsi="Arial" w:eastAsia="仿宋_GB2312" w:cs="Arial"/>
          <w:sz w:val="32"/>
          <w:szCs w:val="32"/>
          <w:lang w:val="en-US" w:eastAsia="zh-CN"/>
        </w:rPr>
        <w:t>1243.27</w:t>
      </w:r>
      <w:r>
        <w:rPr>
          <w:rFonts w:hint="eastAsia" w:ascii="仿宋_GB2312" w:hAnsi="Arial" w:eastAsia="仿宋_GB2312" w:cs="Arial"/>
          <w:sz w:val="32"/>
          <w:szCs w:val="32"/>
        </w:rPr>
        <w:t>万元，商品和服务支出</w:t>
      </w:r>
      <w:r>
        <w:rPr>
          <w:rFonts w:hint="eastAsia" w:ascii="仿宋_GB2312" w:hAnsi="Arial" w:eastAsia="仿宋_GB2312" w:cs="Arial"/>
          <w:sz w:val="32"/>
          <w:szCs w:val="32"/>
          <w:lang w:val="en-US" w:eastAsia="zh-CN"/>
        </w:rPr>
        <w:t>50.55</w:t>
      </w:r>
      <w:r>
        <w:rPr>
          <w:rFonts w:hint="eastAsia" w:ascii="仿宋_GB2312" w:hAnsi="Arial" w:eastAsia="仿宋_GB2312" w:cs="Arial"/>
          <w:sz w:val="32"/>
          <w:szCs w:val="32"/>
        </w:rPr>
        <w:t>万元，对个人和家庭的补助支出</w:t>
      </w:r>
      <w:r>
        <w:rPr>
          <w:rFonts w:hint="eastAsia" w:ascii="仿宋_GB2312" w:hAnsi="Arial" w:eastAsia="仿宋_GB2312" w:cs="Arial"/>
          <w:sz w:val="32"/>
          <w:szCs w:val="32"/>
          <w:lang w:val="en-US" w:eastAsia="zh-CN"/>
        </w:rPr>
        <w:t>164.30</w:t>
      </w:r>
      <w:r>
        <w:rPr>
          <w:rFonts w:hint="eastAsia" w:ascii="仿宋_GB2312" w:hAnsi="Arial" w:eastAsia="仿宋_GB2312" w:cs="Arial"/>
          <w:sz w:val="32"/>
          <w:szCs w:val="32"/>
        </w:rPr>
        <w:t>万元。基本支出比上年预算减少</w:t>
      </w:r>
      <w:r>
        <w:rPr>
          <w:rFonts w:hint="eastAsia" w:ascii="仿宋_GB2312" w:hAnsi="Arial" w:eastAsia="仿宋_GB2312" w:cs="Arial"/>
          <w:sz w:val="32"/>
          <w:szCs w:val="32"/>
          <w:lang w:val="en-US" w:eastAsia="zh-CN"/>
        </w:rPr>
        <w:t>34.77</w:t>
      </w:r>
      <w:r>
        <w:rPr>
          <w:rFonts w:hint="eastAsia" w:ascii="仿宋_GB2312" w:hAnsi="Arial" w:eastAsia="仿宋_GB2312" w:cs="Arial"/>
          <w:sz w:val="32"/>
          <w:szCs w:val="32"/>
        </w:rPr>
        <w:t>万元，主要原因是落实养老保险改革。</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项目支出预算安排10万元，比上年预算增加5万元，主要原因是上级专项增加。</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按资金来源分类，预算支出合计</w:t>
      </w:r>
      <w:r>
        <w:rPr>
          <w:rFonts w:hint="eastAsia" w:ascii="仿宋_GB2312" w:hAnsi="Arial" w:eastAsia="仿宋_GB2312" w:cs="Arial"/>
          <w:sz w:val="32"/>
          <w:szCs w:val="32"/>
          <w:lang w:val="en-US" w:eastAsia="zh-CN"/>
        </w:rPr>
        <w:t>1468.11</w:t>
      </w:r>
      <w:r>
        <w:rPr>
          <w:rFonts w:hint="eastAsia" w:ascii="仿宋_GB2312" w:hAnsi="Arial" w:eastAsia="仿宋_GB2312" w:cs="Arial"/>
          <w:sz w:val="32"/>
          <w:szCs w:val="32"/>
        </w:rPr>
        <w:t>万元，其中：一般公共预算支出</w:t>
      </w:r>
      <w:r>
        <w:rPr>
          <w:rFonts w:hint="eastAsia" w:ascii="仿宋_GB2312" w:hAnsi="Arial" w:eastAsia="仿宋_GB2312" w:cs="Arial"/>
          <w:sz w:val="32"/>
          <w:szCs w:val="32"/>
          <w:lang w:val="en-US" w:eastAsia="zh-CN"/>
        </w:rPr>
        <w:t>1468.11</w:t>
      </w:r>
      <w:r>
        <w:rPr>
          <w:rFonts w:hint="eastAsia" w:ascii="仿宋_GB2312" w:hAnsi="Arial" w:eastAsia="仿宋_GB2312" w:cs="Arial"/>
          <w:sz w:val="32"/>
          <w:szCs w:val="32"/>
        </w:rPr>
        <w:t>万元，政府性基金预算支出0万元，纳入专户管理的非税收入支出0万元，其他收入支出0万元，事业单位经营收入支出0万元。</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（三）机关运行经费情况</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机关运行经费预算支出</w:t>
      </w:r>
      <w:r>
        <w:rPr>
          <w:rFonts w:hint="eastAsia" w:ascii="仿宋_GB2312" w:hAnsi="Arial" w:eastAsia="仿宋_GB2312" w:cs="Arial"/>
          <w:sz w:val="32"/>
          <w:szCs w:val="32"/>
          <w:lang w:val="en-US" w:eastAsia="zh-CN"/>
        </w:rPr>
        <w:t>50.55</w:t>
      </w:r>
      <w:r>
        <w:rPr>
          <w:rFonts w:hint="eastAsia" w:ascii="仿宋_GB2312" w:hAnsi="Arial" w:eastAsia="仿宋_GB2312" w:cs="Arial"/>
          <w:sz w:val="32"/>
          <w:szCs w:val="32"/>
        </w:rPr>
        <w:t>万元，其中：一般公共预算支出</w:t>
      </w:r>
      <w:r>
        <w:rPr>
          <w:rFonts w:hint="eastAsia" w:ascii="仿宋_GB2312" w:hAnsi="Arial" w:eastAsia="仿宋_GB2312" w:cs="Arial"/>
          <w:sz w:val="32"/>
          <w:szCs w:val="32"/>
          <w:lang w:val="en-US" w:eastAsia="zh-CN"/>
        </w:rPr>
        <w:t>50.55</w:t>
      </w:r>
      <w:r>
        <w:rPr>
          <w:rFonts w:hint="eastAsia" w:ascii="仿宋_GB2312" w:hAnsi="Arial" w:eastAsia="仿宋_GB2312" w:cs="Arial"/>
          <w:sz w:val="32"/>
          <w:szCs w:val="32"/>
        </w:rPr>
        <w:t>万元，政府性基金预算支出0万元，纳入专户管理的非税收入支出0万元，其他收入支出0万元，事业单位经营收入支出0万元。与上年相比减少</w:t>
      </w:r>
      <w:r>
        <w:rPr>
          <w:rFonts w:hint="eastAsia" w:ascii="仿宋_GB2312" w:hAnsi="Arial" w:eastAsia="仿宋_GB2312" w:cs="Arial"/>
          <w:sz w:val="32"/>
          <w:szCs w:val="32"/>
          <w:lang w:val="en-US" w:eastAsia="zh-CN"/>
        </w:rPr>
        <w:t>1.40</w:t>
      </w:r>
      <w:r>
        <w:rPr>
          <w:rFonts w:hint="eastAsia" w:ascii="仿宋_GB2312" w:hAnsi="Arial" w:eastAsia="仿宋_GB2312" w:cs="Arial"/>
          <w:sz w:val="32"/>
          <w:szCs w:val="32"/>
        </w:rPr>
        <w:t>万元,主要原因是人员减少 。</w:t>
      </w:r>
    </w:p>
    <w:p>
      <w:pPr>
        <w:pStyle w:val="3"/>
        <w:shd w:val="clear" w:color="auto" w:fill="FFFFFF"/>
        <w:spacing w:before="0" w:beforeAutospacing="0" w:after="0" w:line="560" w:lineRule="exact"/>
        <w:ind w:firstLine="640" w:firstLineChars="200"/>
        <w:jc w:val="both"/>
        <w:rPr>
          <w:rFonts w:hint="eastAsia" w:ascii="黑体" w:hAnsi="Arial" w:eastAsia="黑体" w:cs="Arial"/>
          <w:sz w:val="32"/>
          <w:szCs w:val="32"/>
        </w:rPr>
      </w:pPr>
      <w:r>
        <w:rPr>
          <w:rFonts w:hint="eastAsia" w:ascii="黑体" w:hAnsi="Arial" w:eastAsia="黑体" w:cs="Arial"/>
          <w:sz w:val="32"/>
          <w:szCs w:val="32"/>
        </w:rPr>
        <w:t>三、2017年财政拨款安排的</w:t>
      </w:r>
      <w:r>
        <w:rPr>
          <w:rFonts w:hint="eastAsia" w:ascii="黑体" w:hAnsi="Arial" w:eastAsia="黑体" w:cs="Arial"/>
          <w:sz w:val="32"/>
          <w:szCs w:val="32"/>
          <w:lang w:eastAsia="zh-CN"/>
        </w:rPr>
        <w:t>“三公”经费</w:t>
      </w:r>
      <w:r>
        <w:rPr>
          <w:rFonts w:hint="eastAsia" w:ascii="黑体" w:hAnsi="Arial" w:eastAsia="黑体" w:cs="Arial"/>
          <w:sz w:val="32"/>
          <w:szCs w:val="32"/>
        </w:rPr>
        <w:t>支出预算</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2017年工商局财政拨款安排的</w:t>
      </w:r>
      <w:r>
        <w:rPr>
          <w:rFonts w:hint="eastAsia" w:ascii="仿宋_GB2312" w:hAnsi="Arial" w:eastAsia="仿宋_GB2312" w:cs="Arial"/>
          <w:sz w:val="32"/>
          <w:szCs w:val="32"/>
          <w:lang w:eastAsia="zh-CN"/>
        </w:rPr>
        <w:t>“三公”经费</w:t>
      </w:r>
      <w:r>
        <w:rPr>
          <w:rFonts w:hint="eastAsia" w:ascii="仿宋_GB2312" w:hAnsi="Arial" w:eastAsia="仿宋_GB2312" w:cs="Arial"/>
          <w:sz w:val="32"/>
          <w:szCs w:val="32"/>
        </w:rPr>
        <w:t>预算安排总额为</w:t>
      </w:r>
      <w:r>
        <w:rPr>
          <w:rFonts w:hint="eastAsia" w:ascii="仿宋_GB2312" w:hAnsi="Arial" w:eastAsia="仿宋_GB2312" w:cs="Arial"/>
          <w:sz w:val="32"/>
          <w:szCs w:val="32"/>
          <w:lang w:val="en-US" w:eastAsia="zh-CN"/>
        </w:rPr>
        <w:t>18.13</w:t>
      </w:r>
      <w:r>
        <w:rPr>
          <w:rFonts w:hint="eastAsia" w:ascii="仿宋_GB2312" w:hAnsi="Arial" w:eastAsia="仿宋_GB2312" w:cs="Arial"/>
          <w:sz w:val="32"/>
          <w:szCs w:val="32"/>
        </w:rPr>
        <w:t>万元，</w:t>
      </w:r>
      <w:r>
        <w:rPr>
          <w:rFonts w:hint="eastAsia" w:ascii="仿宋_GB2312" w:hAnsi="Arial" w:eastAsia="仿宋_GB2312" w:cs="Arial"/>
          <w:b/>
          <w:sz w:val="32"/>
          <w:szCs w:val="32"/>
        </w:rPr>
        <w:t>比上年减少0.8万元。</w:t>
      </w:r>
      <w:r>
        <w:rPr>
          <w:rFonts w:hint="eastAsia" w:ascii="仿宋_GB2312" w:hAnsi="Arial" w:eastAsia="仿宋_GB2312" w:cs="Arial"/>
          <w:sz w:val="32"/>
          <w:szCs w:val="32"/>
        </w:rPr>
        <w:t xml:space="preserve">  </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（一）因公出国经费预算</w:t>
      </w:r>
    </w:p>
    <w:p>
      <w:pPr>
        <w:pStyle w:val="3"/>
        <w:shd w:val="clear" w:color="auto" w:fill="FFFFFF"/>
        <w:spacing w:before="0" w:beforeAutospacing="0" w:after="0" w:line="560" w:lineRule="exact"/>
        <w:ind w:firstLine="640" w:firstLineChars="200"/>
        <w:rPr>
          <w:rFonts w:hint="eastAsia" w:ascii="仿宋_GB2312" w:hAnsi="Arial" w:eastAsia="仿宋_GB2312" w:cs="Arial"/>
          <w:sz w:val="32"/>
          <w:szCs w:val="32"/>
        </w:rPr>
      </w:pPr>
      <w:r>
        <w:rPr>
          <w:rFonts w:hint="eastAsia" w:ascii="仿宋_GB2312" w:hAnsi="Arial" w:eastAsia="仿宋_GB2312" w:cs="Arial"/>
          <w:sz w:val="32"/>
          <w:szCs w:val="32"/>
        </w:rPr>
        <w:t xml:space="preserve">因公出国经费预算项目支出安排0万元, </w:t>
      </w:r>
      <w:r>
        <w:rPr>
          <w:rFonts w:hint="eastAsia" w:ascii="仿宋_GB2312" w:hAnsi="Arial" w:eastAsia="仿宋_GB2312" w:cs="Arial"/>
          <w:b w:val="0"/>
          <w:bCs/>
          <w:sz w:val="32"/>
          <w:szCs w:val="32"/>
          <w:lang w:eastAsia="zh-CN"/>
        </w:rPr>
        <w:t>与</w:t>
      </w:r>
      <w:r>
        <w:rPr>
          <w:rFonts w:hint="eastAsia" w:ascii="仿宋_GB2312" w:hAnsi="Arial" w:eastAsia="仿宋_GB2312" w:cs="Arial"/>
          <w:b w:val="0"/>
          <w:bCs/>
          <w:sz w:val="32"/>
          <w:szCs w:val="32"/>
        </w:rPr>
        <w:t>上年</w:t>
      </w:r>
      <w:r>
        <w:rPr>
          <w:rFonts w:hint="eastAsia" w:ascii="仿宋_GB2312" w:hAnsi="Arial" w:eastAsia="仿宋_GB2312" w:cs="Arial"/>
          <w:b w:val="0"/>
          <w:bCs/>
          <w:sz w:val="32"/>
          <w:szCs w:val="32"/>
          <w:lang w:eastAsia="zh-CN"/>
        </w:rPr>
        <w:t>相比</w:t>
      </w:r>
      <w:r>
        <w:rPr>
          <w:rFonts w:hint="eastAsia" w:ascii="仿宋_GB2312" w:hAnsi="Arial" w:eastAsia="仿宋_GB2312" w:cs="Arial"/>
          <w:b w:val="0"/>
          <w:bCs/>
          <w:sz w:val="32"/>
          <w:szCs w:val="32"/>
        </w:rPr>
        <w:t>无变化，主要原因</w:t>
      </w:r>
      <w:r>
        <w:rPr>
          <w:rFonts w:hint="eastAsia" w:ascii="仿宋_GB2312" w:hAnsi="Arial" w:eastAsia="仿宋_GB2312" w:cs="Arial"/>
          <w:b w:val="0"/>
          <w:bCs/>
          <w:sz w:val="32"/>
          <w:szCs w:val="32"/>
          <w:lang w:eastAsia="zh-CN"/>
        </w:rPr>
        <w:t>无</w:t>
      </w:r>
      <w:r>
        <w:rPr>
          <w:rFonts w:hint="eastAsia" w:ascii="仿宋_GB2312" w:hAnsi="Arial" w:eastAsia="仿宋_GB2312" w:cs="Arial"/>
          <w:b w:val="0"/>
          <w:bCs/>
          <w:sz w:val="32"/>
          <w:szCs w:val="32"/>
        </w:rPr>
        <w:t>，</w:t>
      </w:r>
      <w:r>
        <w:rPr>
          <w:rFonts w:hint="eastAsia" w:ascii="仿宋_GB2312" w:hAnsi="Arial" w:eastAsia="仿宋_GB2312" w:cs="Arial"/>
          <w:sz w:val="32"/>
          <w:szCs w:val="32"/>
        </w:rPr>
        <w:t>2017年因公出国团组0 组、人数 0人。</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（二）公务接待费用预算</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公务接待费用预算安排</w:t>
      </w:r>
      <w:r>
        <w:rPr>
          <w:rFonts w:hint="eastAsia" w:ascii="仿宋_GB2312" w:hAnsi="Arial" w:eastAsia="仿宋_GB2312" w:cs="Arial"/>
          <w:sz w:val="32"/>
          <w:szCs w:val="32"/>
          <w:lang w:val="en-US" w:eastAsia="zh-CN"/>
        </w:rPr>
        <w:t>0.13</w:t>
      </w:r>
      <w:r>
        <w:rPr>
          <w:rFonts w:hint="eastAsia" w:ascii="仿宋_GB2312" w:hAnsi="Arial" w:eastAsia="仿宋_GB2312" w:cs="Arial"/>
          <w:sz w:val="32"/>
          <w:szCs w:val="32"/>
        </w:rPr>
        <w:t>万元，主要用于</w:t>
      </w:r>
      <w:r>
        <w:rPr>
          <w:rFonts w:hint="eastAsia" w:ascii="仿宋_GB2312" w:hAnsi="Arial" w:eastAsia="仿宋_GB2312" w:cs="Arial"/>
          <w:sz w:val="32"/>
          <w:szCs w:val="32"/>
          <w:lang w:eastAsia="zh-CN"/>
        </w:rPr>
        <w:t>业务交流</w:t>
      </w:r>
      <w:r>
        <w:rPr>
          <w:rFonts w:hint="eastAsia" w:ascii="仿宋_GB2312" w:hAnsi="Arial" w:eastAsia="仿宋_GB2312" w:cs="Arial"/>
          <w:sz w:val="32"/>
          <w:szCs w:val="32"/>
        </w:rPr>
        <w:t>等方面的支出，</w:t>
      </w:r>
      <w:r>
        <w:rPr>
          <w:rFonts w:hint="eastAsia" w:ascii="仿宋_GB2312" w:hAnsi="Arial" w:eastAsia="仿宋_GB2312" w:cs="Arial"/>
          <w:b w:val="0"/>
          <w:bCs/>
          <w:sz w:val="32"/>
          <w:szCs w:val="32"/>
          <w:lang w:eastAsia="zh-CN"/>
        </w:rPr>
        <w:t>与</w:t>
      </w:r>
      <w:r>
        <w:rPr>
          <w:rFonts w:hint="eastAsia" w:ascii="仿宋_GB2312" w:hAnsi="Arial" w:eastAsia="仿宋_GB2312" w:cs="Arial"/>
          <w:b w:val="0"/>
          <w:bCs/>
          <w:sz w:val="32"/>
          <w:szCs w:val="32"/>
        </w:rPr>
        <w:t>上年</w:t>
      </w:r>
      <w:r>
        <w:rPr>
          <w:rFonts w:hint="eastAsia" w:ascii="仿宋_GB2312" w:hAnsi="Arial" w:eastAsia="仿宋_GB2312" w:cs="Arial"/>
          <w:sz w:val="32"/>
          <w:szCs w:val="32"/>
          <w:lang w:eastAsia="zh-CN"/>
        </w:rPr>
        <w:t>相比</w:t>
      </w:r>
      <w:r>
        <w:rPr>
          <w:rFonts w:hint="eastAsia" w:ascii="仿宋_GB2312" w:hAnsi="Arial" w:eastAsia="仿宋_GB2312" w:cs="Arial"/>
          <w:sz w:val="32"/>
          <w:szCs w:val="32"/>
        </w:rPr>
        <w:t>无变化，</w:t>
      </w:r>
      <w:r>
        <w:rPr>
          <w:rFonts w:hint="eastAsia" w:ascii="仿宋_GB2312" w:hAnsi="Arial" w:eastAsia="仿宋_GB2312" w:cs="Arial"/>
          <w:b/>
          <w:sz w:val="32"/>
          <w:szCs w:val="32"/>
        </w:rPr>
        <w:t>主要原因</w:t>
      </w:r>
      <w:r>
        <w:rPr>
          <w:rFonts w:hint="eastAsia" w:ascii="仿宋_GB2312" w:hAnsi="Arial" w:eastAsia="仿宋_GB2312" w:cs="Arial"/>
          <w:sz w:val="32"/>
          <w:szCs w:val="32"/>
        </w:rPr>
        <w:t>是</w:t>
      </w:r>
      <w:r>
        <w:rPr>
          <w:rFonts w:hint="eastAsia" w:ascii="仿宋_GB2312" w:hAnsi="仿宋" w:eastAsia="仿宋_GB2312"/>
          <w:color w:val="000000"/>
          <w:sz w:val="30"/>
          <w:szCs w:val="30"/>
        </w:rPr>
        <w:t>严格执行自治区、地区十项规定</w:t>
      </w:r>
      <w:r>
        <w:rPr>
          <w:rFonts w:hint="eastAsia" w:ascii="仿宋_GB2312" w:hAnsi="Arial" w:eastAsia="仿宋_GB2312" w:cs="Arial"/>
          <w:sz w:val="32"/>
          <w:szCs w:val="32"/>
        </w:rPr>
        <w:t>等方面，2017年国内公务接待的批次为</w:t>
      </w:r>
      <w:r>
        <w:rPr>
          <w:rFonts w:hint="eastAsia" w:ascii="仿宋_GB2312" w:hAnsi="Arial" w:eastAsia="仿宋_GB2312" w:cs="Arial"/>
          <w:sz w:val="32"/>
          <w:szCs w:val="32"/>
          <w:lang w:val="en-US" w:eastAsia="zh-CN"/>
        </w:rPr>
        <w:t>3</w:t>
      </w:r>
      <w:r>
        <w:rPr>
          <w:rFonts w:hint="eastAsia" w:ascii="仿宋_GB2312" w:hAnsi="Arial" w:eastAsia="仿宋_GB2312" w:cs="Arial"/>
          <w:sz w:val="32"/>
          <w:szCs w:val="32"/>
        </w:rPr>
        <w:t>批、人数为</w:t>
      </w:r>
      <w:r>
        <w:rPr>
          <w:rFonts w:hint="eastAsia" w:ascii="仿宋_GB2312" w:hAnsi="Arial" w:eastAsia="仿宋_GB2312" w:cs="Arial"/>
          <w:sz w:val="32"/>
          <w:szCs w:val="32"/>
          <w:lang w:val="en-US" w:eastAsia="zh-CN"/>
        </w:rPr>
        <w:t>22</w:t>
      </w:r>
      <w:r>
        <w:rPr>
          <w:rFonts w:hint="eastAsia" w:ascii="仿宋_GB2312" w:hAnsi="Arial" w:eastAsia="仿宋_GB2312" w:cs="Arial"/>
          <w:sz w:val="32"/>
          <w:szCs w:val="32"/>
        </w:rPr>
        <w:t>人。</w:t>
      </w:r>
    </w:p>
    <w:p>
      <w:pPr>
        <w:pStyle w:val="3"/>
        <w:shd w:val="clear" w:color="auto" w:fill="FFFFFF"/>
        <w:spacing w:before="0" w:beforeAutospacing="0" w:after="0" w:line="560" w:lineRule="exact"/>
        <w:ind w:firstLine="643" w:firstLineChars="200"/>
        <w:jc w:val="both"/>
        <w:rPr>
          <w:rFonts w:hint="eastAsia" w:ascii="楷体_GB2312" w:hAnsi="Arial" w:eastAsia="楷体_GB2312" w:cs="Arial"/>
          <w:b/>
          <w:sz w:val="32"/>
          <w:szCs w:val="32"/>
        </w:rPr>
      </w:pPr>
      <w:r>
        <w:rPr>
          <w:rFonts w:hint="eastAsia" w:ascii="楷体_GB2312" w:hAnsi="Arial" w:eastAsia="楷体_GB2312" w:cs="Arial"/>
          <w:b/>
          <w:sz w:val="32"/>
          <w:szCs w:val="32"/>
        </w:rPr>
        <w:t>（三）公务用车购置及运行维护费预算</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b w:val="0"/>
          <w:bCs/>
          <w:sz w:val="32"/>
          <w:szCs w:val="32"/>
        </w:rPr>
      </w:pPr>
      <w:r>
        <w:rPr>
          <w:rFonts w:hint="eastAsia" w:ascii="仿宋_GB2312" w:hAnsi="Arial" w:eastAsia="仿宋_GB2312" w:cs="Arial"/>
          <w:sz w:val="32"/>
          <w:szCs w:val="32"/>
        </w:rPr>
        <w:t>公务用车购置及运行维护费预算安排</w:t>
      </w:r>
      <w:r>
        <w:rPr>
          <w:rFonts w:hint="eastAsia" w:ascii="仿宋_GB2312" w:hAnsi="Arial" w:eastAsia="仿宋_GB2312" w:cs="Arial"/>
          <w:sz w:val="32"/>
          <w:szCs w:val="32"/>
          <w:lang w:val="en-US" w:eastAsia="zh-CN"/>
        </w:rPr>
        <w:t>18.13</w:t>
      </w:r>
      <w:r>
        <w:rPr>
          <w:rFonts w:hint="eastAsia" w:ascii="仿宋_GB2312" w:hAnsi="Arial" w:eastAsia="仿宋_GB2312" w:cs="Arial"/>
          <w:sz w:val="32"/>
          <w:szCs w:val="32"/>
        </w:rPr>
        <w:t>万元，其中公务用车运行维护费预算安排</w:t>
      </w:r>
      <w:r>
        <w:rPr>
          <w:rFonts w:hint="eastAsia" w:ascii="仿宋_GB2312" w:hAnsi="Arial" w:eastAsia="仿宋_GB2312" w:cs="Arial"/>
          <w:sz w:val="32"/>
          <w:szCs w:val="32"/>
          <w:lang w:val="en-US" w:eastAsia="zh-CN"/>
        </w:rPr>
        <w:t>18.13</w:t>
      </w:r>
      <w:r>
        <w:rPr>
          <w:rFonts w:hint="eastAsia" w:ascii="仿宋_GB2312" w:hAnsi="Arial" w:eastAsia="仿宋_GB2312" w:cs="Arial"/>
          <w:sz w:val="32"/>
          <w:szCs w:val="32"/>
        </w:rPr>
        <w:t>万元，主要用于2017年车辆的燃油费，车辆保险等方面的支出，</w:t>
      </w:r>
      <w:r>
        <w:rPr>
          <w:rFonts w:hint="eastAsia" w:ascii="仿宋_GB2312" w:hAnsi="Arial" w:eastAsia="仿宋_GB2312" w:cs="Arial"/>
          <w:b w:val="0"/>
          <w:bCs/>
          <w:sz w:val="32"/>
          <w:szCs w:val="32"/>
        </w:rPr>
        <w:t>与上年相比</w:t>
      </w:r>
      <w:r>
        <w:rPr>
          <w:rFonts w:hint="eastAsia" w:ascii="仿宋_GB2312" w:hAnsi="Arial" w:eastAsia="仿宋_GB2312" w:cs="Arial"/>
          <w:b w:val="0"/>
          <w:bCs/>
          <w:sz w:val="32"/>
          <w:szCs w:val="32"/>
          <w:lang w:eastAsia="zh-CN"/>
        </w:rPr>
        <w:t>无</w:t>
      </w:r>
      <w:r>
        <w:rPr>
          <w:rFonts w:hint="eastAsia" w:ascii="仿宋_GB2312" w:hAnsi="Arial" w:eastAsia="仿宋_GB2312" w:cs="Arial"/>
          <w:b w:val="0"/>
          <w:bCs/>
          <w:sz w:val="32"/>
          <w:szCs w:val="32"/>
        </w:rPr>
        <w:t>变动。</w:t>
      </w:r>
    </w:p>
    <w:p>
      <w:pPr>
        <w:pStyle w:val="3"/>
        <w:shd w:val="clear" w:color="auto" w:fill="FFFFFF"/>
        <w:spacing w:before="0" w:beforeAutospacing="0" w:after="0" w:line="560" w:lineRule="exact"/>
        <w:ind w:firstLine="640" w:firstLineChars="200"/>
        <w:jc w:val="both"/>
        <w:rPr>
          <w:rFonts w:hint="eastAsia" w:ascii="黑体" w:hAnsi="Arial" w:eastAsia="黑体" w:cs="Arial"/>
          <w:sz w:val="32"/>
          <w:szCs w:val="32"/>
        </w:rPr>
      </w:pPr>
      <w:r>
        <w:rPr>
          <w:rFonts w:hint="eastAsia" w:ascii="黑体" w:hAnsi="Arial" w:eastAsia="黑体" w:cs="Arial"/>
          <w:sz w:val="32"/>
          <w:szCs w:val="32"/>
        </w:rPr>
        <w:t>四、2017年政府采购支出预算</w:t>
      </w:r>
    </w:p>
    <w:p>
      <w:pPr>
        <w:pStyle w:val="3"/>
        <w:shd w:val="clear" w:color="auto" w:fill="FFFFFF"/>
        <w:spacing w:before="0" w:beforeAutospacing="0" w:after="0" w:line="560" w:lineRule="exact"/>
        <w:ind w:firstLine="640" w:firstLineChars="200"/>
        <w:jc w:val="both"/>
        <w:rPr>
          <w:rFonts w:hint="eastAsia" w:ascii="仿宋_GB2312" w:hAnsi="Arial" w:eastAsia="仿宋_GB2312" w:cs="Arial"/>
          <w:sz w:val="32"/>
          <w:szCs w:val="32"/>
        </w:rPr>
      </w:pPr>
      <w:r>
        <w:rPr>
          <w:rFonts w:hint="eastAsia" w:ascii="仿宋_GB2312" w:hAnsi="Arial" w:eastAsia="仿宋_GB2312" w:cs="Arial"/>
          <w:sz w:val="32"/>
          <w:szCs w:val="32"/>
        </w:rPr>
        <w:t>2017年</w:t>
      </w:r>
      <w:r>
        <w:rPr>
          <w:rFonts w:hint="eastAsia" w:ascii="仿宋_GB2312" w:hAnsi="Arial" w:eastAsia="仿宋_GB2312" w:cs="Arial"/>
          <w:sz w:val="32"/>
          <w:szCs w:val="32"/>
          <w:lang w:eastAsia="zh-CN"/>
        </w:rPr>
        <w:t>本单位</w:t>
      </w:r>
      <w:r>
        <w:rPr>
          <w:rFonts w:hint="eastAsia" w:ascii="仿宋_GB2312" w:hAnsi="Arial" w:eastAsia="仿宋_GB2312" w:cs="Arial"/>
          <w:sz w:val="32"/>
          <w:szCs w:val="32"/>
        </w:rPr>
        <w:t xml:space="preserve">财政拨款安排政府采购经费支出总计  </w:t>
      </w:r>
      <w:r>
        <w:rPr>
          <w:rFonts w:hint="eastAsia" w:ascii="仿宋_GB2312" w:hAnsi="Arial" w:eastAsia="仿宋_GB2312" w:cs="Arial"/>
          <w:sz w:val="32"/>
          <w:szCs w:val="32"/>
          <w:lang w:val="en-US" w:eastAsia="zh-CN"/>
        </w:rPr>
        <w:t>6.3</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主要用于</w:t>
      </w:r>
      <w:r>
        <w:rPr>
          <w:rFonts w:hint="eastAsia" w:ascii="仿宋_GB2312" w:hAnsi="Arial" w:eastAsia="仿宋_GB2312" w:cs="Arial"/>
          <w:sz w:val="32"/>
          <w:szCs w:val="32"/>
        </w:rPr>
        <w:t>机动车保险服务</w:t>
      </w:r>
      <w:r>
        <w:rPr>
          <w:rFonts w:hint="eastAsia" w:ascii="仿宋_GB2312" w:hAnsi="Arial" w:eastAsia="仿宋_GB2312" w:cs="Arial"/>
          <w:sz w:val="32"/>
          <w:szCs w:val="32"/>
          <w:lang w:val="en-US" w:eastAsia="zh-CN"/>
        </w:rPr>
        <w:t>6.3</w:t>
      </w:r>
      <w:r>
        <w:rPr>
          <w:rFonts w:hint="eastAsia" w:ascii="仿宋_GB2312" w:hAnsi="Arial" w:eastAsia="仿宋_GB2312" w:cs="Arial"/>
          <w:sz w:val="32"/>
          <w:szCs w:val="32"/>
        </w:rPr>
        <w:t xml:space="preserve">万元。 </w:t>
      </w:r>
    </w:p>
    <w:p>
      <w:pPr>
        <w:pStyle w:val="3"/>
        <w:shd w:val="clear" w:color="auto" w:fill="FFFFFF"/>
        <w:spacing w:before="0" w:beforeAutospacing="0" w:after="0" w:line="560" w:lineRule="exact"/>
        <w:ind w:firstLine="640" w:firstLineChars="200"/>
        <w:jc w:val="both"/>
        <w:rPr>
          <w:rFonts w:hint="eastAsia" w:ascii="黑体" w:hAnsi="Arial" w:eastAsia="黑体" w:cs="Arial"/>
          <w:sz w:val="32"/>
          <w:szCs w:val="32"/>
        </w:rPr>
      </w:pPr>
      <w:r>
        <w:rPr>
          <w:rFonts w:hint="eastAsia" w:ascii="黑体" w:hAnsi="Arial" w:eastAsia="黑体" w:cs="Arial"/>
          <w:sz w:val="32"/>
          <w:szCs w:val="32"/>
        </w:rPr>
        <w:t>五、预算绩效信息</w:t>
      </w:r>
    </w:p>
    <w:p>
      <w:pPr>
        <w:spacing w:line="560" w:lineRule="exact"/>
        <w:ind w:firstLine="645"/>
        <w:rPr>
          <w:rFonts w:hint="eastAsia" w:ascii="仿宋_GB2312" w:hAnsi="Arial" w:eastAsia="仿宋_GB2312" w:cs="Arial"/>
          <w:sz w:val="32"/>
          <w:szCs w:val="32"/>
        </w:rPr>
      </w:pPr>
      <w:r>
        <w:rPr>
          <w:rFonts w:hint="eastAsia" w:ascii="仿宋_GB2312" w:hAnsi="Arial" w:eastAsia="仿宋_GB2312" w:cs="Arial"/>
          <w:sz w:val="32"/>
          <w:szCs w:val="32"/>
        </w:rPr>
        <w:t>根据地区财政局《</w:t>
      </w:r>
      <w:r>
        <w:rPr>
          <w:rFonts w:hint="eastAsia" w:ascii="仿宋_GB2312" w:hAnsi="Arial" w:eastAsia="仿宋_GB2312" w:cs="Arial"/>
          <w:kern w:val="0"/>
          <w:sz w:val="32"/>
          <w:szCs w:val="32"/>
        </w:rPr>
        <w:t>关于开展2017年喀什地区本级财政资金绩效评价的通知</w:t>
      </w:r>
      <w:r>
        <w:rPr>
          <w:rFonts w:hint="eastAsia" w:ascii="仿宋_GB2312" w:hAnsi="Arial" w:eastAsia="仿宋_GB2312" w:cs="Arial"/>
          <w:sz w:val="32"/>
          <w:szCs w:val="32"/>
        </w:rPr>
        <w:t>》（喀地财预</w:t>
      </w:r>
      <w:r>
        <w:rPr>
          <w:rFonts w:hint="eastAsia" w:ascii="宋体" w:hAnsi="宋体" w:cs="宋体"/>
          <w:sz w:val="32"/>
          <w:szCs w:val="32"/>
        </w:rPr>
        <w:t>﹝</w:t>
      </w:r>
      <w:r>
        <w:rPr>
          <w:rFonts w:hint="eastAsia" w:ascii="仿宋_GB2312" w:eastAsia="仿宋_GB2312"/>
          <w:sz w:val="32"/>
          <w:szCs w:val="32"/>
        </w:rPr>
        <w:t>2017</w:t>
      </w:r>
      <w:r>
        <w:rPr>
          <w:rFonts w:hint="eastAsia" w:ascii="宋体" w:hAnsi="宋体" w:cs="宋体"/>
          <w:sz w:val="32"/>
          <w:szCs w:val="32"/>
        </w:rPr>
        <w:t>﹞41</w:t>
      </w:r>
      <w:r>
        <w:rPr>
          <w:rFonts w:hint="eastAsia" w:ascii="仿宋_GB2312" w:eastAsia="仿宋_GB2312"/>
          <w:sz w:val="32"/>
          <w:szCs w:val="32"/>
        </w:rPr>
        <w:t>号</w:t>
      </w:r>
      <w:r>
        <w:rPr>
          <w:rFonts w:hint="eastAsia" w:ascii="仿宋_GB2312" w:hAnsi="Arial" w:eastAsia="仿宋_GB2312" w:cs="Arial"/>
          <w:sz w:val="32"/>
          <w:szCs w:val="32"/>
        </w:rPr>
        <w:t>）的要求，我单位录入预算绩效范围项目共0个，涉及金额0万元，主要用于消费维权经费。</w:t>
      </w:r>
    </w:p>
    <w:p>
      <w:pPr>
        <w:pStyle w:val="3"/>
        <w:shd w:val="clear" w:color="auto" w:fill="FFFFFF"/>
        <w:spacing w:before="0" w:beforeAutospacing="0" w:after="0" w:line="560" w:lineRule="exact"/>
        <w:ind w:firstLine="640" w:firstLineChars="200"/>
        <w:rPr>
          <w:rFonts w:ascii="黑体" w:hAnsi="Arial" w:eastAsia="黑体" w:cs="Arial"/>
          <w:sz w:val="32"/>
          <w:szCs w:val="32"/>
        </w:rPr>
      </w:pPr>
      <w:r>
        <w:rPr>
          <w:rFonts w:hint="eastAsia" w:ascii="黑体" w:hAnsi="Arial" w:eastAsia="黑体" w:cs="Arial"/>
          <w:sz w:val="32"/>
          <w:szCs w:val="32"/>
        </w:rPr>
        <w:t xml:space="preserve">六、专业名词解释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（一）财政拨款收入：指单位本年度从本级财政部门取得得财政拨款。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（二）事业收入：指事业单位开展专业业务活动及辅助活动所取得的收入。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（三）经营收入：指事业单位在专业业务活动及其辅助活动之外开展非独立核算经营活动取得的收入。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（四）其他收入：指除上述“财政拨款收入”、“事业收入”、“经营收入”等以外的收入。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（六）年初结转和结余：指以前年度尚未完成、结转到本年按有关规定继续使用的资金。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（七）结余分配：指事业单位按规定提取的职工福利基 </w:t>
      </w:r>
    </w:p>
    <w:p>
      <w:pPr>
        <w:widowControl/>
        <w:spacing w:line="560" w:lineRule="exact"/>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金、事业基金和缴纳的所得税，以及建设单位按规定应交回的基本建设竣工项目结余资金。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（八）年末结转和结余：指本年度或以前年度预算安排、 </w:t>
      </w:r>
    </w:p>
    <w:p>
      <w:pPr>
        <w:widowControl/>
        <w:spacing w:line="560" w:lineRule="exact"/>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因客观条件发生变化无法按原计划实施，需要延迟到以后年度按有关规定继续使用的资金。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（九）基本支出：指为保障机构正常运转、完成日常工作任务而发生的人员支出和公用支出。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（十）项目支出：指在基本支出之外为完成特定行政任务和事业发展目标所发生的支出。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（十一）经营支出：指事业单位在专业业务活动及其辅助活动之外开展非独立核算经营活动发生的支出。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伙食费、培养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widowControl/>
        <w:spacing w:line="560" w:lineRule="exact"/>
        <w:ind w:firstLine="640" w:firstLineChars="20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rPr>
          <w:rFonts w:hint="eastAsia" w:ascii="仿宋_GB2312" w:hAnsi="Arial" w:eastAsia="仿宋_GB2312" w:cs="Arial"/>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7E2C46"/>
    <w:rsid w:val="0C9674C9"/>
    <w:rsid w:val="16120C69"/>
    <w:rsid w:val="26B57E2B"/>
    <w:rsid w:val="27C870B6"/>
    <w:rsid w:val="537E2C46"/>
    <w:rsid w:val="57131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240" w:after="240"/>
      <w:jc w:val="left"/>
      <w:outlineLvl w:val="0"/>
    </w:pPr>
    <w:rPr>
      <w:rFonts w:ascii="宋体" w:hAnsi="宋体" w:cs="宋体"/>
      <w:b/>
      <w:bCs/>
      <w:kern w:val="36"/>
      <w:sz w:val="43"/>
      <w:szCs w:val="43"/>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widowControl/>
      <w:spacing w:before="100" w:beforeAutospacing="1" w:after="240"/>
      <w:jc w:val="left"/>
    </w:pPr>
    <w:rPr>
      <w:rFonts w:ascii="宋体" w:hAnsi="宋体" w:cs="宋体"/>
      <w:kern w:val="0"/>
      <w:sz w:val="24"/>
    </w:rPr>
  </w:style>
  <w:style w:type="paragraph" w:customStyle="1" w:styleId="6">
    <w:name w:val="notice_title"/>
    <w:basedOn w:val="1"/>
    <w:uiPriority w:val="0"/>
    <w:pPr>
      <w:widowControl/>
      <w:spacing w:after="225"/>
      <w:jc w:val="center"/>
    </w:pPr>
    <w:rPr>
      <w:rFonts w:ascii="宋体" w:hAnsi="宋体" w:cs="宋体"/>
      <w:b/>
      <w:bCs/>
      <w:color w:val="771325"/>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2019-01-03T11:22:00Z</dcterms:created>
  <dc:creator>无敌</dc:creator>
  <cp:lastModifiedBy>Administrator</cp:lastModifiedBy>
  <dcterms:modified xsi:type="dcterms:W3CDTF">2024-12-23T10:25:46Z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