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after="0" w:line="560" w:lineRule="exact"/>
        <w:jc w:val="center"/>
        <w:rPr>
          <w:rFonts w:ascii="方正小标宋简体" w:hAnsi="Arial" w:eastAsia="方正小标宋简体" w:cs="Arial"/>
          <w:b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Arial" w:eastAsia="方正小标宋简体" w:cs="Arial"/>
          <w:b/>
          <w:bCs w:val="0"/>
          <w:sz w:val="44"/>
          <w:szCs w:val="44"/>
        </w:rPr>
        <w:t>喀什地区叶城县军粮供应站2017年</w:t>
      </w:r>
    </w:p>
    <w:p>
      <w:pPr>
        <w:pStyle w:val="2"/>
        <w:shd w:val="clear" w:color="auto" w:fill="FFFFFF"/>
        <w:spacing w:before="0" w:after="0" w:line="560" w:lineRule="exact"/>
        <w:jc w:val="center"/>
        <w:rPr>
          <w:rFonts w:ascii="方正小标宋简体" w:hAnsi="Arial" w:eastAsia="方正小标宋简体" w:cs="Arial"/>
          <w:b/>
          <w:bCs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b/>
          <w:bCs w:val="0"/>
          <w:sz w:val="44"/>
          <w:szCs w:val="44"/>
        </w:rPr>
        <w:t>部门预算信息公开说明</w:t>
      </w:r>
    </w:p>
    <w:p>
      <w:pPr>
        <w:pStyle w:val="6"/>
        <w:shd w:val="clear" w:color="auto" w:fill="FFFFFF"/>
        <w:spacing w:before="0" w:beforeAutospacing="0" w:after="0" w:line="560" w:lineRule="exact"/>
        <w:ind w:firstLine="361" w:firstLineChars="200"/>
        <w:rPr>
          <w:rFonts w:ascii="Arial" w:hAnsi="Arial" w:cs="Arial"/>
          <w:b/>
          <w:sz w:val="18"/>
          <w:szCs w:val="18"/>
        </w:rPr>
      </w:pPr>
    </w:p>
    <w:p>
      <w:pPr>
        <w:pStyle w:val="11"/>
        <w:spacing w:after="0" w:line="560" w:lineRule="exact"/>
        <w:ind w:firstLine="640" w:firstLineChars="200"/>
        <w:jc w:val="left"/>
        <w:rPr>
          <w:rFonts w:ascii="仿宋_GB2312" w:eastAsia="仿宋_GB2312"/>
          <w:b w:val="0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color w:val="auto"/>
          <w:sz w:val="32"/>
          <w:szCs w:val="32"/>
        </w:rPr>
        <w:t>为进一步增强政府预算透明度，提升预算管理水平，更好地保障公民的知情权、参与权和监督权</w:t>
      </w:r>
      <w:r>
        <w:rPr>
          <w:rFonts w:hint="eastAsia" w:ascii="仿宋_GB2312" w:hAnsi="Arial" w:eastAsia="仿宋_GB2312" w:cs="Arial"/>
          <w:b w:val="0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根据喀什地区《关于2017年部门预算信息公开工作的通知》（喀地财预</w:t>
      </w:r>
      <w:r>
        <w:rPr>
          <w:rFonts w:hint="eastAsia"/>
          <w:b w:val="0"/>
          <w:color w:val="auto"/>
          <w:sz w:val="32"/>
          <w:szCs w:val="32"/>
        </w:rPr>
        <w:t>﹝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2017</w:t>
      </w:r>
      <w:r>
        <w:rPr>
          <w:rFonts w:hint="eastAsia"/>
          <w:b w:val="0"/>
          <w:color w:val="auto"/>
          <w:sz w:val="32"/>
          <w:szCs w:val="32"/>
        </w:rPr>
        <w:t>﹞40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号）的要求，</w:t>
      </w:r>
      <w:r>
        <w:rPr>
          <w:rFonts w:hint="eastAsia" w:ascii="仿宋_GB2312" w:hAnsi="Arial" w:eastAsia="仿宋_GB2312" w:cs="Arial"/>
          <w:b w:val="0"/>
          <w:color w:val="auto"/>
          <w:sz w:val="32"/>
          <w:szCs w:val="32"/>
        </w:rPr>
        <w:t>现将叶城县军粮供应站2017年部门预算及“三公”经费信息公开如下：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一、部门基本情况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（一）部门职能</w:t>
      </w:r>
    </w:p>
    <w:p>
      <w:pPr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军粮供应工作的职能是负责筹措军粮货源，按国家确定的统销价供应部队。粮食部门在各地开设的军粮供应网点（以下简称“军供粮站”）是组织军粮供应的专门机构，其数量和布局由省级粮食部门商军区后勤部门根据部队需要，按照方便部队，确保供应。</w:t>
      </w:r>
    </w:p>
    <w:p>
      <w:pPr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（二）机构设置</w:t>
      </w:r>
    </w:p>
    <w:p>
      <w:pPr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根据职责，纳入2017年部门预算编制范围的有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军粮供应站为全额事业单位，共设置 2个科室。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（三）人员编制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编制人数6人，其中：行政人员编制0人，参照公务员管理的事业单位人员编制0人，全额拨款事业单位人员编制  0人。实有在职人数4人，其中：行政在职0人，参照公务员管理的事业单位人员0人，事业在职2人，工勤在职人数  2人。离退休人员2人，其中：离休人员0人，退休人员2人。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（四）资产情况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2017年单位占有使用国有资产0.73万元，其中：流动资产0.23万元，固定资产0.5 万元，长期投资0万元，在建工程0万元，无形资产0万元，其他资产0万元。拥有房屋0平方</w:t>
      </w:r>
      <w:r>
        <w:rPr>
          <w:rFonts w:hint="eastAsia" w:ascii="仿宋_GB2312" w:hAnsi="Arial" w:eastAsia="仿宋_GB2312" w:cs="Arial"/>
          <w:b w:val="0"/>
          <w:bCs w:val="0"/>
          <w:sz w:val="32"/>
          <w:szCs w:val="32"/>
        </w:rPr>
        <w:t>米。汽车0辆。单价在20万元以上的设备0台。与上年相比减少2.57万元，主要原因是流动资产减少 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二、2017年部门预算收支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（一）收支总体情况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收入预算62.05万元，其中： 一般公共预算收入62.05 万元，政府性基金预算收入0万元，纳入专户管理的非税收入0万元，其他收入0万元，事业单位经营收入0万元。支出预算总额为62.05万元。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（二）预算支出主要内容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支出分为基本支出和项目支出，其中：基本支出预算安排59.05万元，包括：工资福利支出51.45万元，商品和服务支出1.4万元，对个人和家庭的补助支出6.2万元。基本支出比上年预算增加2.57万元，主要原因是调资因素增加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项目支出预算安排3万元，比上年预算3万元无增减变动。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按资金来源分类，预算支出合计62.05万元，其中：一般公共预算支出62.05万元，政府性基金预算支出0万元，纳入专户管理的非税收入支出0万元，其他收入支出0万元，事业单位经营收入支出0万元。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（三）机关运行经费情况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机关运行经费预算支出1.4万元，其中：一般公共预算支出1.4 万元，政府性基金预算支出0万元，纳入专户管理的非税收入支出0万元，其他收入支出0万元，事业单位经营收入支出0万元。与上年相比无增减变动。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三、2017年财政拨款安排的</w:t>
      </w:r>
      <w:r>
        <w:rPr>
          <w:rFonts w:hint="eastAsia" w:ascii="黑体" w:hAnsi="Arial" w:eastAsia="黑体" w:cs="Arial"/>
          <w:sz w:val="32"/>
          <w:szCs w:val="32"/>
          <w:lang w:eastAsia="zh-CN"/>
        </w:rPr>
        <w:t>“三公”经费</w:t>
      </w:r>
      <w:r>
        <w:rPr>
          <w:rFonts w:hint="eastAsia" w:ascii="黑体" w:hAnsi="Arial" w:eastAsia="黑体" w:cs="Arial"/>
          <w:sz w:val="32"/>
          <w:szCs w:val="32"/>
        </w:rPr>
        <w:t>支出预算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2017年军粮供应站财政拨款安排的</w:t>
      </w: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“三公”经费</w:t>
      </w:r>
      <w:r>
        <w:rPr>
          <w:rFonts w:hint="eastAsia" w:ascii="仿宋_GB2312" w:hAnsi="Arial" w:eastAsia="仿宋_GB2312" w:cs="Arial"/>
          <w:sz w:val="32"/>
          <w:szCs w:val="32"/>
        </w:rPr>
        <w:t>预算安排总额为0元</w:t>
      </w: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，</w:t>
      </w:r>
      <w:r>
        <w:rPr>
          <w:rFonts w:hint="eastAsia" w:ascii="仿宋_GB2312" w:hAnsi="Arial" w:eastAsia="仿宋_GB2312" w:cs="Arial"/>
          <w:b w:val="0"/>
          <w:bCs w:val="0"/>
          <w:sz w:val="32"/>
          <w:szCs w:val="32"/>
          <w:lang w:eastAsia="zh-CN"/>
        </w:rPr>
        <w:t>与</w:t>
      </w:r>
      <w:r>
        <w:rPr>
          <w:rFonts w:hint="eastAsia" w:ascii="仿宋_GB2312" w:hAnsi="Arial" w:eastAsia="仿宋_GB2312" w:cs="Arial"/>
          <w:b w:val="0"/>
          <w:bCs w:val="0"/>
          <w:sz w:val="32"/>
          <w:szCs w:val="32"/>
        </w:rPr>
        <w:t>上年无增减变动。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 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（一）因公出国经费预算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 xml:space="preserve">因公出国经费预算项目支出安排0万元, </w:t>
      </w: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与</w:t>
      </w:r>
      <w:r>
        <w:rPr>
          <w:rFonts w:hint="eastAsia" w:ascii="仿宋_GB2312" w:hAnsi="Arial" w:eastAsia="仿宋_GB2312" w:cs="Arial"/>
          <w:b w:val="0"/>
          <w:bCs w:val="0"/>
          <w:sz w:val="32"/>
          <w:szCs w:val="32"/>
        </w:rPr>
        <w:t>上年无增减变动， 2</w:t>
      </w:r>
      <w:r>
        <w:rPr>
          <w:rFonts w:hint="eastAsia" w:ascii="仿宋_GB2312" w:hAnsi="Arial" w:eastAsia="仿宋_GB2312" w:cs="Arial"/>
          <w:sz w:val="32"/>
          <w:szCs w:val="32"/>
        </w:rPr>
        <w:t>017年因公出国团组0组、人数0人。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（二）公务接待费用预算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公务接待费用预算安排0万元，比</w:t>
      </w:r>
      <w:r>
        <w:rPr>
          <w:rFonts w:hint="eastAsia" w:ascii="仿宋_GB2312" w:hAnsi="Arial" w:eastAsia="仿宋_GB2312" w:cs="Arial"/>
          <w:b w:val="0"/>
          <w:bCs/>
          <w:sz w:val="32"/>
          <w:szCs w:val="32"/>
        </w:rPr>
        <w:t>上年无增减变动，</w:t>
      </w:r>
      <w:r>
        <w:rPr>
          <w:rFonts w:hint="eastAsia" w:ascii="仿宋_GB2312" w:hAnsi="Arial" w:eastAsia="仿宋_GB2312" w:cs="Arial"/>
          <w:sz w:val="32"/>
          <w:szCs w:val="32"/>
        </w:rPr>
        <w:t>2017年国内公务接待的批次为0批、人数为0人。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3" w:firstLineChars="200"/>
        <w:rPr>
          <w:rFonts w:ascii="楷体_GB2312" w:hAnsi="Arial" w:eastAsia="楷体_GB2312" w:cs="Arial"/>
          <w:b/>
          <w:sz w:val="32"/>
          <w:szCs w:val="32"/>
        </w:rPr>
      </w:pPr>
      <w:r>
        <w:rPr>
          <w:rFonts w:hint="eastAsia" w:ascii="楷体_GB2312" w:hAnsi="Arial" w:eastAsia="楷体_GB2312" w:cs="Arial"/>
          <w:b/>
          <w:sz w:val="32"/>
          <w:szCs w:val="32"/>
        </w:rPr>
        <w:t>（三）公务用车购置及运行维护费预算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公务用车购置及运行维护费预算安排0万元，主要用于2017年车辆的等方面的支出</w:t>
      </w:r>
      <w:r>
        <w:rPr>
          <w:rFonts w:hint="eastAsia" w:ascii="仿宋_GB2312" w:hAnsi="Arial" w:eastAsia="仿宋_GB2312" w:cs="Arial"/>
          <w:b w:val="0"/>
          <w:bCs w:val="0"/>
          <w:sz w:val="32"/>
          <w:szCs w:val="32"/>
          <w:lang w:eastAsia="zh-CN"/>
        </w:rPr>
        <w:t>，与</w:t>
      </w:r>
      <w:r>
        <w:rPr>
          <w:rFonts w:hint="eastAsia" w:ascii="仿宋_GB2312" w:hAnsi="Arial" w:eastAsia="仿宋_GB2312" w:cs="Arial"/>
          <w:b w:val="0"/>
          <w:bCs w:val="0"/>
          <w:sz w:val="32"/>
          <w:szCs w:val="32"/>
        </w:rPr>
        <w:t>上年无</w:t>
      </w:r>
      <w:r>
        <w:rPr>
          <w:rFonts w:hint="eastAsia" w:ascii="仿宋_GB2312" w:hAnsi="Arial" w:eastAsia="仿宋_GB2312" w:cs="Arial"/>
          <w:sz w:val="32"/>
          <w:szCs w:val="32"/>
        </w:rPr>
        <w:t>增减变动。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四、2017年政府采购支出预算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2017年</w:t>
      </w: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本单位</w:t>
      </w:r>
      <w:r>
        <w:rPr>
          <w:rFonts w:hint="eastAsia" w:ascii="仿宋_GB2312" w:hAnsi="Arial" w:eastAsia="仿宋_GB2312" w:cs="Arial"/>
          <w:sz w:val="32"/>
          <w:szCs w:val="32"/>
        </w:rPr>
        <w:t xml:space="preserve">财政拨款安排政府采购经费支出总计0万元。 </w:t>
      </w:r>
    </w:p>
    <w:p>
      <w:pPr>
        <w:pStyle w:val="6"/>
        <w:shd w:val="clear" w:color="auto" w:fill="FFFFFF"/>
        <w:spacing w:before="0" w:beforeAutospacing="0" w:after="0" w:line="560" w:lineRule="exact"/>
        <w:ind w:firstLine="640" w:firstLineChars="200"/>
        <w:rPr>
          <w:rFonts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五、预算绩效信息</w:t>
      </w:r>
    </w:p>
    <w:p>
      <w:pPr>
        <w:spacing w:line="560" w:lineRule="exact"/>
        <w:ind w:firstLine="640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根据地区财政局《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关于开展2017年喀什地区本级财政资金绩效评价的通知</w:t>
      </w:r>
      <w:r>
        <w:rPr>
          <w:rFonts w:hint="eastAsia" w:ascii="仿宋_GB2312" w:hAnsi="Arial" w:eastAsia="仿宋_GB2312" w:cs="Arial"/>
          <w:sz w:val="32"/>
          <w:szCs w:val="32"/>
        </w:rPr>
        <w:t>》（喀地财预</w:t>
      </w:r>
      <w:r>
        <w:rPr>
          <w:rFonts w:hint="eastAsia" w:ascii="宋体" w:hAnsi="宋体" w:cs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 w:cs="宋体"/>
          <w:sz w:val="32"/>
          <w:szCs w:val="32"/>
        </w:rPr>
        <w:t>﹞41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_GB2312" w:hAnsi="Arial" w:eastAsia="仿宋_GB2312" w:cs="Arial"/>
          <w:sz w:val="32"/>
          <w:szCs w:val="32"/>
        </w:rPr>
        <w:t>）的要求，我单位录入预算绩效范围项目共0个，涉及金额0万元。</w:t>
      </w:r>
    </w:p>
    <w:p>
      <w:pPr>
        <w:pStyle w:val="6"/>
        <w:shd w:val="clear" w:color="auto" w:fill="FFFFFF"/>
        <w:spacing w:before="0" w:beforeAutospacing="0" w:after="0" w:line="500" w:lineRule="exact"/>
        <w:ind w:firstLine="803" w:firstLineChars="250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</w:rPr>
        <w:t>六</w:t>
      </w:r>
      <w:r>
        <w:rPr>
          <w:rFonts w:hint="eastAsia" w:ascii="仿宋" w:hAnsi="仿宋" w:eastAsia="仿宋" w:cs="Arial"/>
          <w:b/>
          <w:bCs/>
          <w:sz w:val="32"/>
          <w:szCs w:val="32"/>
          <w:lang w:eastAsia="zh-CN"/>
        </w:rPr>
        <w:t>、专业</w:t>
      </w:r>
      <w:r>
        <w:rPr>
          <w:rFonts w:hint="eastAsia" w:ascii="仿宋" w:hAnsi="仿宋" w:eastAsia="仿宋" w:cs="Arial"/>
          <w:b/>
          <w:bCs/>
          <w:sz w:val="32"/>
          <w:szCs w:val="32"/>
        </w:rPr>
        <w:t>名词解释</w:t>
      </w:r>
    </w:p>
    <w:p>
      <w:pPr>
        <w:spacing w:line="500" w:lineRule="exact"/>
        <w:ind w:firstLine="627" w:firstLineChars="196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（一）财政拨款：指由一般公共预算、政府性基金预算安排的财政拨款数。</w:t>
      </w:r>
    </w:p>
    <w:p>
      <w:pPr>
        <w:spacing w:line="500" w:lineRule="exact"/>
        <w:ind w:firstLine="627" w:firstLineChars="196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（二）一般公共预算：包括公共财政拨款（补助）资金、专项收入。</w:t>
      </w:r>
    </w:p>
    <w:p>
      <w:pPr>
        <w:spacing w:line="500" w:lineRule="exact"/>
        <w:ind w:firstLine="627" w:firstLineChars="196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（三）财政专户管理资金：包括专户管理行政事业性收费（主要是教育收费）、其他非税收入。</w:t>
      </w:r>
    </w:p>
    <w:p>
      <w:pPr>
        <w:spacing w:line="500" w:lineRule="exact"/>
        <w:ind w:firstLine="627" w:firstLineChars="196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（四）其他资金：包括事业收入、经营收入、其他收入等。</w:t>
      </w:r>
    </w:p>
    <w:p>
      <w:pPr>
        <w:spacing w:line="500" w:lineRule="exact"/>
        <w:ind w:firstLine="627" w:firstLineChars="196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（五）基本支出：包括人员经费、商品和服务支出（定额）。其中，人员经费包括工资福利支出、对个人和家庭的补助。</w:t>
      </w:r>
    </w:p>
    <w:p>
      <w:pPr>
        <w:spacing w:line="500" w:lineRule="exact"/>
        <w:ind w:firstLine="627" w:firstLineChars="196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（六）项目支出：部门支出预算的组成部分，是自治区本级部门为完成其特定的行政任务或事业发展目标，在基本支出预算之外编制的年度项目支出计划。</w:t>
      </w:r>
    </w:p>
    <w:p>
      <w:pPr>
        <w:spacing w:line="500" w:lineRule="exact"/>
        <w:ind w:firstLine="627" w:firstLineChars="196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（七）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“三公”经费</w:t>
      </w:r>
      <w:r>
        <w:rPr>
          <w:rFonts w:hint="eastAsia" w:ascii="仿宋" w:hAnsi="仿宋" w:eastAsia="仿宋"/>
          <w:b w:val="0"/>
          <w:bCs/>
          <w:sz w:val="32"/>
          <w:szCs w:val="32"/>
        </w:rPr>
        <w:t>：指自治区本级部门用一般公共预算财政拨款安排的因公出国费、公务用车购置及运行费和公务接待费。其中，因公出国费指单位公务出国的住宿费、旅费、伙食补助费、杂费、培养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00" w:lineRule="exact"/>
        <w:ind w:firstLine="627" w:firstLineChars="196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八）机关运行经费：指各部门的公用经费，包括办公及印刷费、邮电费、差旅费、会议费、福利费、日常维修费、专用材料及一般设备购置费、办公用房水电费、办公用房取暖费、办公用房物业管理费、公务用车运行维护费及其他费</w:t>
      </w:r>
      <w:r>
        <w:rPr>
          <w:rFonts w:hint="eastAsia" w:ascii="仿宋" w:hAnsi="仿宋" w:eastAsia="仿宋"/>
          <w:sz w:val="32"/>
          <w:szCs w:val="32"/>
        </w:rPr>
        <w:t>用。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</w:p>
    <w:p/>
    <w:p>
      <w:pPr>
        <w:spacing w:line="560" w:lineRule="exact"/>
        <w:ind w:firstLine="640"/>
        <w:jc w:val="left"/>
        <w:rPr>
          <w:rFonts w:ascii="仿宋_GB2312" w:hAnsi="Arial" w:eastAsia="仿宋_GB2312" w:cs="Arial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804"/>
    <w:rsid w:val="00030982"/>
    <w:rsid w:val="00062164"/>
    <w:rsid w:val="000867EA"/>
    <w:rsid w:val="00095F71"/>
    <w:rsid w:val="000B2E08"/>
    <w:rsid w:val="00151F28"/>
    <w:rsid w:val="0015687B"/>
    <w:rsid w:val="00187A00"/>
    <w:rsid w:val="001B017F"/>
    <w:rsid w:val="001B2BE4"/>
    <w:rsid w:val="00202956"/>
    <w:rsid w:val="00224125"/>
    <w:rsid w:val="0024680D"/>
    <w:rsid w:val="00284EB2"/>
    <w:rsid w:val="0029074D"/>
    <w:rsid w:val="002C36C0"/>
    <w:rsid w:val="002E08D6"/>
    <w:rsid w:val="002E28F2"/>
    <w:rsid w:val="0030384F"/>
    <w:rsid w:val="0034110C"/>
    <w:rsid w:val="003700A8"/>
    <w:rsid w:val="003741CF"/>
    <w:rsid w:val="003764CE"/>
    <w:rsid w:val="003A06EF"/>
    <w:rsid w:val="003E5D7E"/>
    <w:rsid w:val="003F1AE0"/>
    <w:rsid w:val="00473F10"/>
    <w:rsid w:val="0051078A"/>
    <w:rsid w:val="005107B0"/>
    <w:rsid w:val="00556EA7"/>
    <w:rsid w:val="00624AA6"/>
    <w:rsid w:val="006C5D81"/>
    <w:rsid w:val="007B3505"/>
    <w:rsid w:val="00823170"/>
    <w:rsid w:val="00837EC9"/>
    <w:rsid w:val="008878FB"/>
    <w:rsid w:val="008C03C3"/>
    <w:rsid w:val="00905B06"/>
    <w:rsid w:val="009063C6"/>
    <w:rsid w:val="00907D4A"/>
    <w:rsid w:val="009B2A0A"/>
    <w:rsid w:val="009C29DF"/>
    <w:rsid w:val="00A00812"/>
    <w:rsid w:val="00A1690A"/>
    <w:rsid w:val="00A453E7"/>
    <w:rsid w:val="00A70790"/>
    <w:rsid w:val="00A814D5"/>
    <w:rsid w:val="00B23D7D"/>
    <w:rsid w:val="00BC0108"/>
    <w:rsid w:val="00BD0989"/>
    <w:rsid w:val="00C27D00"/>
    <w:rsid w:val="00C7450B"/>
    <w:rsid w:val="00CB345D"/>
    <w:rsid w:val="00CB76BB"/>
    <w:rsid w:val="00D10984"/>
    <w:rsid w:val="00D205CF"/>
    <w:rsid w:val="00D2151F"/>
    <w:rsid w:val="00D27804"/>
    <w:rsid w:val="00D531F0"/>
    <w:rsid w:val="00E312B7"/>
    <w:rsid w:val="00E5462B"/>
    <w:rsid w:val="00E74A22"/>
    <w:rsid w:val="00E94B5F"/>
    <w:rsid w:val="00EA1684"/>
    <w:rsid w:val="00EE2DDE"/>
    <w:rsid w:val="00F24AB2"/>
    <w:rsid w:val="00F86FB6"/>
    <w:rsid w:val="00FA3C8A"/>
    <w:rsid w:val="00FE1273"/>
    <w:rsid w:val="00FF725C"/>
    <w:rsid w:val="150E5AA8"/>
    <w:rsid w:val="1D9B55A6"/>
    <w:rsid w:val="1FED107C"/>
    <w:rsid w:val="5652202E"/>
    <w:rsid w:val="5C2F18E5"/>
    <w:rsid w:val="6C8903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240" w:after="240"/>
      <w:jc w:val="left"/>
      <w:outlineLvl w:val="0"/>
    </w:pPr>
    <w:rPr>
      <w:rFonts w:ascii="宋体" w:hAnsi="宋体" w:cs="宋体"/>
      <w:b/>
      <w:bCs/>
      <w:kern w:val="36"/>
      <w:sz w:val="43"/>
      <w:szCs w:val="43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Char"/>
    <w:link w:val="5"/>
    <w:uiPriority w:val="0"/>
    <w:rPr>
      <w:kern w:val="2"/>
      <w:sz w:val="18"/>
      <w:szCs w:val="18"/>
    </w:rPr>
  </w:style>
  <w:style w:type="character" w:customStyle="1" w:styleId="10">
    <w:name w:val="页脚 Char"/>
    <w:link w:val="4"/>
    <w:uiPriority w:val="99"/>
    <w:rPr>
      <w:kern w:val="2"/>
      <w:sz w:val="18"/>
      <w:szCs w:val="18"/>
    </w:rPr>
  </w:style>
  <w:style w:type="paragraph" w:customStyle="1" w:styleId="11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  <w:style w:type="character" w:customStyle="1" w:styleId="12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5</Pages>
  <Words>310</Words>
  <Characters>1768</Characters>
  <Lines>14</Lines>
  <Paragraphs>4</Paragraphs>
  <TotalTime>0</TotalTime>
  <ScaleCrop>false</ScaleCrop>
  <LinksUpToDate>false</LinksUpToDate>
  <CharactersWithSpaces>2074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2018-12-18T09:08:00Z</dcterms:created>
  <dc:creator>User</dc:creator>
  <cp:lastModifiedBy>Administrator</cp:lastModifiedBy>
  <cp:lastPrinted>2017-04-20T05:06:00Z</cp:lastPrinted>
  <dcterms:modified xsi:type="dcterms:W3CDTF">2024-12-23T10:50:24Z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